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7D91D" w14:textId="77777777" w:rsidR="003A6BBE" w:rsidRPr="003A6BBE" w:rsidRDefault="003A6BBE" w:rsidP="003A6BBE">
      <w:pPr>
        <w:spacing w:after="0"/>
        <w:ind w:left="851" w:hanging="851"/>
        <w:jc w:val="center"/>
        <w:rPr>
          <w:b/>
          <w:bCs/>
        </w:rPr>
      </w:pPr>
      <w:r w:rsidRPr="003A6BBE">
        <w:rPr>
          <w:b/>
          <w:bCs/>
        </w:rPr>
        <w:t xml:space="preserve">ICCR Primary Tumour in Bone Histopathology Reporting </w:t>
      </w:r>
      <w:r w:rsidR="00A36FBC">
        <w:rPr>
          <w:b/>
          <w:bCs/>
        </w:rPr>
        <w:t xml:space="preserve">Guide </w:t>
      </w:r>
      <w:r w:rsidRPr="003A6BBE">
        <w:rPr>
          <w:b/>
          <w:bCs/>
        </w:rPr>
        <w:t>– Biopsy Specimen</w:t>
      </w:r>
      <w:r w:rsidR="00A36FBC">
        <w:rPr>
          <w:b/>
          <w:bCs/>
        </w:rPr>
        <w:t>s</w:t>
      </w:r>
      <w:r w:rsidRPr="003A6BBE">
        <w:rPr>
          <w:b/>
          <w:bCs/>
        </w:rPr>
        <w:t>, 1</w:t>
      </w:r>
      <w:r w:rsidRPr="003A6BBE">
        <w:rPr>
          <w:b/>
          <w:bCs/>
          <w:vertAlign w:val="superscript"/>
        </w:rPr>
        <w:t>st</w:t>
      </w:r>
      <w:r w:rsidRPr="003A6BBE">
        <w:rPr>
          <w:b/>
          <w:bCs/>
        </w:rPr>
        <w:t xml:space="preserve"> edition</w:t>
      </w:r>
    </w:p>
    <w:p w14:paraId="0E57D91E" w14:textId="77777777" w:rsidR="003A6BBE" w:rsidRDefault="003A6BBE" w:rsidP="00C477F8">
      <w:pPr>
        <w:spacing w:after="0"/>
        <w:ind w:left="851" w:hanging="851"/>
        <w:jc w:val="both"/>
        <w:rPr>
          <w:b/>
          <w:sz w:val="16"/>
          <w:szCs w:val="16"/>
        </w:rPr>
      </w:pPr>
    </w:p>
    <w:p w14:paraId="0E57D91F" w14:textId="77777777" w:rsidR="00236231" w:rsidRPr="009125B1" w:rsidRDefault="00236231" w:rsidP="00C477F8">
      <w:pPr>
        <w:spacing w:after="0"/>
        <w:ind w:left="851" w:hanging="851"/>
        <w:jc w:val="both"/>
        <w:rPr>
          <w:b/>
          <w:sz w:val="16"/>
          <w:szCs w:val="16"/>
        </w:rPr>
      </w:pPr>
      <w:r w:rsidRPr="009125B1">
        <w:rPr>
          <w:b/>
          <w:sz w:val="16"/>
          <w:szCs w:val="16"/>
        </w:rPr>
        <w:t>Elements in black text are CORE</w:t>
      </w:r>
      <w:r w:rsidR="00C477F8">
        <w:rPr>
          <w:b/>
          <w:sz w:val="16"/>
          <w:szCs w:val="16"/>
        </w:rPr>
        <w:tab/>
      </w:r>
      <w:r w:rsidR="00C477F8">
        <w:rPr>
          <w:b/>
          <w:sz w:val="16"/>
          <w:szCs w:val="16"/>
        </w:rPr>
        <w:tab/>
      </w:r>
      <w:r w:rsidRPr="009125B1">
        <w:rPr>
          <w:b/>
          <w:sz w:val="16"/>
          <w:szCs w:val="16"/>
        </w:rPr>
        <w:t xml:space="preserve">Elements in </w:t>
      </w:r>
      <w:r w:rsidRPr="004A0913">
        <w:rPr>
          <w:b/>
          <w:color w:val="000000" w:themeColor="text1"/>
          <w:sz w:val="16"/>
          <w:szCs w:val="16"/>
        </w:rPr>
        <w:t xml:space="preserve">grey text </w:t>
      </w:r>
      <w:r w:rsidRPr="009125B1">
        <w:rPr>
          <w:b/>
          <w:sz w:val="16"/>
          <w:szCs w:val="16"/>
        </w:rPr>
        <w:t xml:space="preserve">are NON-CORE        </w:t>
      </w:r>
      <w:r w:rsidRPr="009125B1">
        <w:rPr>
          <w:b/>
          <w:sz w:val="16"/>
          <w:szCs w:val="16"/>
        </w:rPr>
        <w:tab/>
        <w:t xml:space="preserve">      </w:t>
      </w:r>
      <w:r w:rsidR="00137F74">
        <w:rPr>
          <w:b/>
          <w:sz w:val="16"/>
          <w:szCs w:val="16"/>
        </w:rPr>
        <w:t xml:space="preserve">o </w:t>
      </w:r>
      <w:r w:rsidR="00137F74" w:rsidRPr="00137F74">
        <w:rPr>
          <w:b/>
          <w:sz w:val="16"/>
          <w:szCs w:val="16"/>
        </w:rPr>
        <w:t xml:space="preserve">indicates single select values </w:t>
      </w:r>
      <w:r w:rsidR="00137F74">
        <w:rPr>
          <w:b/>
          <w:sz w:val="16"/>
          <w:szCs w:val="16"/>
        </w:rPr>
        <w:t xml:space="preserve">           </w:t>
      </w:r>
      <w:r w:rsidR="00DB2D3F">
        <w:rPr>
          <w:b/>
          <w:sz w:val="16"/>
          <w:szCs w:val="16"/>
        </w:rPr>
        <w:t>□</w:t>
      </w:r>
      <w:r w:rsidRPr="009125B1">
        <w:rPr>
          <w:b/>
          <w:sz w:val="16"/>
          <w:szCs w:val="16"/>
        </w:rPr>
        <w:t xml:space="preserve"> indicates multi-select values  </w:t>
      </w:r>
      <w:r w:rsidRPr="009125B1">
        <w:rPr>
          <w:b/>
          <w:sz w:val="16"/>
          <w:szCs w:val="16"/>
        </w:rPr>
        <w:tab/>
        <w:t xml:space="preserve">      </w:t>
      </w:r>
    </w:p>
    <w:p w14:paraId="0E57D920" w14:textId="77777777" w:rsidR="00236231" w:rsidRDefault="00236231" w:rsidP="00EE2948">
      <w:pPr>
        <w:spacing w:after="0"/>
        <w:ind w:left="851" w:hanging="851"/>
        <w:rPr>
          <w:b/>
          <w:sz w:val="20"/>
          <w:szCs w:val="20"/>
        </w:rPr>
      </w:pPr>
    </w:p>
    <w:tbl>
      <w:tblPr>
        <w:tblW w:w="15183" w:type="dxa"/>
        <w:tblInd w:w="93" w:type="dxa"/>
        <w:tblLayout w:type="fixed"/>
        <w:tblLook w:val="04A0" w:firstRow="1" w:lastRow="0" w:firstColumn="1" w:lastColumn="0" w:noHBand="0" w:noVBand="1"/>
      </w:tblPr>
      <w:tblGrid>
        <w:gridCol w:w="2425"/>
        <w:gridCol w:w="12758"/>
      </w:tblGrid>
      <w:tr w:rsidR="00775C63" w:rsidRPr="006D1DD6" w14:paraId="0E57D927" w14:textId="77777777" w:rsidTr="00236231">
        <w:trPr>
          <w:trHeight w:val="657"/>
        </w:trPr>
        <w:tc>
          <w:tcPr>
            <w:tcW w:w="2425" w:type="dxa"/>
            <w:tcBorders>
              <w:top w:val="single" w:sz="4" w:space="0" w:color="auto"/>
              <w:left w:val="single" w:sz="4" w:space="0" w:color="auto"/>
              <w:bottom w:val="single" w:sz="4" w:space="0" w:color="auto"/>
              <w:right w:val="single" w:sz="4" w:space="0" w:color="auto"/>
            </w:tcBorders>
            <w:shd w:val="clear" w:color="000000" w:fill="EEECE1"/>
          </w:tcPr>
          <w:p w14:paraId="0E57D921" w14:textId="77777777" w:rsidR="00EF4BD8" w:rsidRDefault="00236231" w:rsidP="00EF4BD8">
            <w:pPr>
              <w:spacing w:after="0"/>
              <w:rPr>
                <w:rFonts w:ascii="Calibri" w:hAnsi="Calibri"/>
                <w:bCs/>
                <w:color w:val="000000"/>
                <w:sz w:val="16"/>
                <w:szCs w:val="16"/>
              </w:rPr>
            </w:pPr>
            <w:r w:rsidRPr="00236231">
              <w:rPr>
                <w:rFonts w:ascii="Calibri" w:hAnsi="Calibri"/>
                <w:bCs/>
                <w:color w:val="000000"/>
                <w:sz w:val="16"/>
                <w:szCs w:val="16"/>
              </w:rPr>
              <w:t xml:space="preserve">Definition of </w:t>
            </w:r>
            <w:r w:rsidR="000936EF">
              <w:rPr>
                <w:rFonts w:ascii="Calibri" w:hAnsi="Calibri"/>
                <w:bCs/>
                <w:color w:val="000000"/>
                <w:sz w:val="16"/>
                <w:szCs w:val="16"/>
              </w:rPr>
              <w:t>C</w:t>
            </w:r>
            <w:r w:rsidRPr="00236231">
              <w:rPr>
                <w:rFonts w:ascii="Calibri" w:hAnsi="Calibri"/>
                <w:bCs/>
                <w:color w:val="000000"/>
                <w:sz w:val="16"/>
                <w:szCs w:val="16"/>
              </w:rPr>
              <w:t>ore elements</w:t>
            </w:r>
          </w:p>
          <w:p w14:paraId="0E57D922" w14:textId="77777777" w:rsidR="00775C63" w:rsidRPr="00160820" w:rsidRDefault="00775C63" w:rsidP="00EF4BD8">
            <w:pPr>
              <w:spacing w:after="0"/>
              <w:rPr>
                <w:rFonts w:ascii="Calibri" w:hAnsi="Calibri"/>
                <w:bCs/>
                <w:color w:val="000000"/>
                <w:sz w:val="16"/>
                <w:szCs w:val="16"/>
              </w:rPr>
            </w:pPr>
          </w:p>
        </w:tc>
        <w:tc>
          <w:tcPr>
            <w:tcW w:w="12758" w:type="dxa"/>
            <w:tcBorders>
              <w:top w:val="single" w:sz="4" w:space="0" w:color="auto"/>
              <w:left w:val="nil"/>
              <w:bottom w:val="single" w:sz="4" w:space="0" w:color="auto"/>
              <w:right w:val="single" w:sz="4" w:space="0" w:color="auto"/>
            </w:tcBorders>
            <w:shd w:val="clear" w:color="auto" w:fill="auto"/>
          </w:tcPr>
          <w:p w14:paraId="0E57D923" w14:textId="77777777" w:rsidR="00586322" w:rsidRDefault="00C412F2" w:rsidP="00B67C93">
            <w:pPr>
              <w:pBdr>
                <w:top w:val="nil"/>
                <w:left w:val="nil"/>
                <w:bottom w:val="nil"/>
                <w:right w:val="nil"/>
                <w:between w:val="nil"/>
                <w:bar w:val="nil"/>
              </w:pBdr>
              <w:spacing w:after="0" w:line="240" w:lineRule="auto"/>
              <w:ind w:left="34"/>
              <w:rPr>
                <w:rFonts w:ascii="Calibri" w:hAnsi="Calibri"/>
                <w:sz w:val="16"/>
                <w:szCs w:val="16"/>
              </w:rPr>
            </w:pPr>
            <w:r w:rsidRPr="00C412F2">
              <w:rPr>
                <w:rFonts w:ascii="Calibri" w:hAnsi="Calibri"/>
                <w:sz w:val="16"/>
                <w:szCs w:val="16"/>
              </w:rPr>
              <w:t>C</w:t>
            </w:r>
            <w:r w:rsidR="003A6BBE">
              <w:rPr>
                <w:rFonts w:ascii="Calibri" w:hAnsi="Calibri"/>
                <w:sz w:val="16"/>
                <w:szCs w:val="16"/>
              </w:rPr>
              <w:t>ore</w:t>
            </w:r>
            <w:r w:rsidRPr="00C412F2">
              <w:rPr>
                <w:rFonts w:ascii="Calibri" w:hAnsi="Calibri"/>
                <w:sz w:val="16"/>
                <w:szCs w:val="16"/>
              </w:rPr>
              <w:t xml:space="preserve"> elements are those which are essential for the clinical management, staging or prognosis of the cancer. These elements will either have evidentiary support at Level III-2 or above (based on prognostic factors in the National Health and Medical Research Council (NHMRC) levels of evidence</w:t>
            </w:r>
            <w:r w:rsidRPr="00B67C93">
              <w:rPr>
                <w:rFonts w:ascii="Calibri" w:hAnsi="Calibri"/>
                <w:sz w:val="16"/>
                <w:szCs w:val="16"/>
                <w:vertAlign w:val="superscript"/>
              </w:rPr>
              <w:t>1</w:t>
            </w:r>
            <w:r w:rsidRPr="00C412F2">
              <w:rPr>
                <w:rFonts w:ascii="Calibri" w:hAnsi="Calibri"/>
                <w:sz w:val="16"/>
                <w:szCs w:val="16"/>
              </w:rPr>
              <w:t>). In rare circumstances, where level III-2 evidence is not avai</w:t>
            </w:r>
            <w:r w:rsidR="003A6BBE">
              <w:rPr>
                <w:rFonts w:ascii="Calibri" w:hAnsi="Calibri"/>
                <w:sz w:val="16"/>
                <w:szCs w:val="16"/>
              </w:rPr>
              <w:t>lable an element may be made a core</w:t>
            </w:r>
            <w:r w:rsidRPr="00C412F2">
              <w:rPr>
                <w:rFonts w:ascii="Calibri" w:hAnsi="Calibri"/>
                <w:sz w:val="16"/>
                <w:szCs w:val="16"/>
              </w:rPr>
              <w:t xml:space="preserve"> element where there is unanimous agreement in the expert committee. An appropriate staging system, e.g., Pathological TNM staging, would normally be included as a </w:t>
            </w:r>
            <w:r w:rsidR="003A6BBE">
              <w:rPr>
                <w:rFonts w:ascii="Calibri" w:hAnsi="Calibri"/>
                <w:sz w:val="16"/>
                <w:szCs w:val="16"/>
              </w:rPr>
              <w:t>core</w:t>
            </w:r>
            <w:r w:rsidRPr="00C412F2">
              <w:rPr>
                <w:rFonts w:ascii="Calibri" w:hAnsi="Calibri"/>
                <w:sz w:val="16"/>
                <w:szCs w:val="16"/>
              </w:rPr>
              <w:t xml:space="preserve"> element. </w:t>
            </w:r>
            <w:r w:rsidR="002D6D38">
              <w:rPr>
                <w:rFonts w:ascii="Calibri" w:hAnsi="Calibri"/>
                <w:sz w:val="16"/>
                <w:szCs w:val="16"/>
              </w:rPr>
              <w:t>The summation of all c</w:t>
            </w:r>
            <w:r w:rsidR="003A6BBE">
              <w:rPr>
                <w:rFonts w:ascii="Calibri" w:hAnsi="Calibri"/>
                <w:sz w:val="16"/>
                <w:szCs w:val="16"/>
              </w:rPr>
              <w:t>ore</w:t>
            </w:r>
            <w:r w:rsidRPr="00C412F2">
              <w:rPr>
                <w:rFonts w:ascii="Calibri" w:hAnsi="Calibri"/>
                <w:sz w:val="16"/>
                <w:szCs w:val="16"/>
              </w:rPr>
              <w:t xml:space="preserve"> elements is considered to be the minimum reporting standard for a specific cancer.</w:t>
            </w:r>
          </w:p>
          <w:p w14:paraId="0E57D924" w14:textId="77777777" w:rsidR="00C412F2" w:rsidRPr="009774E5" w:rsidRDefault="00C412F2" w:rsidP="00C412F2">
            <w:pPr>
              <w:pBdr>
                <w:top w:val="nil"/>
                <w:left w:val="nil"/>
                <w:bottom w:val="nil"/>
                <w:right w:val="nil"/>
                <w:between w:val="nil"/>
                <w:bar w:val="nil"/>
              </w:pBdr>
              <w:spacing w:after="0" w:line="240" w:lineRule="auto"/>
              <w:ind w:left="34"/>
              <w:rPr>
                <w:rFonts w:ascii="Calibri" w:hAnsi="Calibri"/>
                <w:sz w:val="16"/>
                <w:szCs w:val="16"/>
              </w:rPr>
            </w:pPr>
          </w:p>
          <w:p w14:paraId="0E57D925" w14:textId="77777777" w:rsidR="0033413A" w:rsidRPr="009774E5" w:rsidRDefault="005E4807" w:rsidP="002A671F">
            <w:pPr>
              <w:pBdr>
                <w:top w:val="nil"/>
                <w:left w:val="nil"/>
                <w:bottom w:val="nil"/>
                <w:right w:val="nil"/>
                <w:between w:val="nil"/>
                <w:bar w:val="nil"/>
              </w:pBdr>
              <w:tabs>
                <w:tab w:val="left" w:pos="1256"/>
              </w:tabs>
              <w:spacing w:after="0" w:line="240" w:lineRule="auto"/>
              <w:ind w:left="34"/>
              <w:rPr>
                <w:rFonts w:ascii="Calibri" w:eastAsia="Times New Roman" w:hAnsi="Calibri" w:cs="Calibri"/>
                <w:b/>
                <w:sz w:val="16"/>
                <w:szCs w:val="16"/>
                <w:bdr w:val="nil"/>
              </w:rPr>
            </w:pPr>
            <w:r w:rsidRPr="009774E5">
              <w:rPr>
                <w:rFonts w:ascii="Calibri" w:eastAsia="Times New Roman" w:hAnsi="Calibri" w:cs="Calibri"/>
                <w:b/>
                <w:sz w:val="16"/>
                <w:szCs w:val="16"/>
                <w:bdr w:val="nil"/>
              </w:rPr>
              <w:t>Reference</w:t>
            </w:r>
            <w:r w:rsidR="0033413A" w:rsidRPr="009774E5">
              <w:rPr>
                <w:rFonts w:ascii="Calibri" w:eastAsia="Times New Roman" w:hAnsi="Calibri" w:cs="Calibri"/>
                <w:b/>
                <w:sz w:val="16"/>
                <w:szCs w:val="16"/>
                <w:bdr w:val="nil"/>
              </w:rPr>
              <w:tab/>
            </w:r>
          </w:p>
          <w:p w14:paraId="0E57D926" w14:textId="77777777" w:rsidR="0033413A" w:rsidRPr="009774E5" w:rsidRDefault="00854E84" w:rsidP="00854E84">
            <w:pPr>
              <w:pBdr>
                <w:top w:val="nil"/>
                <w:left w:val="nil"/>
                <w:bottom w:val="nil"/>
                <w:right w:val="nil"/>
                <w:between w:val="nil"/>
                <w:bar w:val="nil"/>
              </w:pBdr>
              <w:spacing w:after="0" w:line="240" w:lineRule="auto"/>
              <w:ind w:left="318" w:hanging="284"/>
              <w:rPr>
                <w:rFonts w:ascii="Calibri" w:hAnsi="Calibri"/>
                <w:sz w:val="16"/>
                <w:szCs w:val="16"/>
              </w:rPr>
            </w:pPr>
            <w:r w:rsidRPr="009774E5">
              <w:rPr>
                <w:rFonts w:ascii="Calibri" w:eastAsia="Calibri" w:hAnsi="Calibri" w:cs="Segoe UI"/>
                <w:noProof/>
                <w:color w:val="000000"/>
                <w:sz w:val="16"/>
                <w:szCs w:val="16"/>
                <w:u w:color="000000"/>
                <w:bdr w:val="nil"/>
                <w:lang w:val="en-US" w:eastAsia="en-AU"/>
              </w:rPr>
              <w:fldChar w:fldCharType="begin"/>
            </w:r>
            <w:r w:rsidRPr="009774E5">
              <w:rPr>
                <w:rFonts w:ascii="Calibri" w:eastAsia="Calibri" w:hAnsi="Calibri" w:cs="Segoe UI"/>
                <w:noProof/>
                <w:color w:val="000000"/>
                <w:sz w:val="16"/>
                <w:szCs w:val="16"/>
                <w:u w:color="000000"/>
                <w:bdr w:val="nil"/>
                <w:lang w:val="en-US" w:eastAsia="en-AU"/>
              </w:rPr>
              <w:instrText xml:space="preserve"> ADDIN EN.REFLIST </w:instrText>
            </w:r>
            <w:r w:rsidRPr="009774E5">
              <w:rPr>
                <w:rFonts w:ascii="Calibri" w:eastAsia="Calibri" w:hAnsi="Calibri" w:cs="Segoe UI"/>
                <w:noProof/>
                <w:color w:val="000000"/>
                <w:sz w:val="16"/>
                <w:szCs w:val="16"/>
                <w:u w:color="000000"/>
                <w:bdr w:val="nil"/>
                <w:lang w:val="en-US" w:eastAsia="en-AU"/>
              </w:rPr>
              <w:fldChar w:fldCharType="separate"/>
            </w:r>
            <w:r w:rsidRPr="009774E5">
              <w:rPr>
                <w:rFonts w:ascii="Calibri" w:eastAsia="Calibri" w:hAnsi="Calibri" w:cs="Segoe UI"/>
                <w:noProof/>
                <w:color w:val="000000"/>
                <w:sz w:val="16"/>
                <w:szCs w:val="16"/>
                <w:u w:color="000000"/>
                <w:bdr w:val="nil"/>
                <w:lang w:val="en-US" w:eastAsia="en-AU"/>
              </w:rPr>
              <w:t>1</w:t>
            </w:r>
            <w:r w:rsidRPr="009774E5">
              <w:rPr>
                <w:rFonts w:ascii="Calibri" w:eastAsia="Calibri" w:hAnsi="Calibri" w:cs="Segoe UI"/>
                <w:noProof/>
                <w:color w:val="000000"/>
                <w:sz w:val="16"/>
                <w:szCs w:val="16"/>
                <w:u w:color="000000"/>
                <w:bdr w:val="nil"/>
                <w:lang w:val="en-US" w:eastAsia="en-AU"/>
              </w:rPr>
              <w:tab/>
              <w:t xml:space="preserve">Merlin T, Weston A and Tooher R (2009). Extending an evidence hierarchy to include topics other than treatment: revising the Australian 'levels of evidence'. </w:t>
            </w:r>
            <w:r w:rsidRPr="009774E5">
              <w:rPr>
                <w:rFonts w:ascii="Calibri" w:eastAsia="Calibri" w:hAnsi="Calibri" w:cs="Segoe UI"/>
                <w:i/>
                <w:noProof/>
                <w:color w:val="000000"/>
                <w:sz w:val="16"/>
                <w:szCs w:val="16"/>
                <w:u w:color="000000"/>
                <w:bdr w:val="nil"/>
                <w:lang w:val="en-US" w:eastAsia="en-AU"/>
              </w:rPr>
              <w:t>BMC Med Res Methodol</w:t>
            </w:r>
            <w:r w:rsidRPr="009774E5">
              <w:rPr>
                <w:rFonts w:ascii="Calibri" w:eastAsia="Calibri" w:hAnsi="Calibri" w:cs="Segoe UI"/>
                <w:noProof/>
                <w:color w:val="000000"/>
                <w:sz w:val="16"/>
                <w:szCs w:val="16"/>
                <w:u w:color="000000"/>
                <w:bdr w:val="nil"/>
                <w:lang w:val="en-US" w:eastAsia="en-AU"/>
              </w:rPr>
              <w:t xml:space="preserve"> 9:34.</w:t>
            </w:r>
            <w:r w:rsidRPr="009774E5">
              <w:rPr>
                <w:rFonts w:ascii="Calibri" w:eastAsia="Calibri" w:hAnsi="Calibri" w:cs="Segoe UI"/>
                <w:noProof/>
                <w:color w:val="000000"/>
                <w:sz w:val="16"/>
                <w:szCs w:val="16"/>
                <w:u w:color="000000"/>
                <w:bdr w:val="nil"/>
                <w:lang w:eastAsia="en-AU"/>
              </w:rPr>
              <w:fldChar w:fldCharType="end"/>
            </w:r>
          </w:p>
        </w:tc>
      </w:tr>
      <w:tr w:rsidR="00775C63" w:rsidRPr="006D1DD6" w14:paraId="0E57D92C" w14:textId="77777777" w:rsidTr="00775C63">
        <w:trPr>
          <w:trHeight w:val="657"/>
        </w:trPr>
        <w:tc>
          <w:tcPr>
            <w:tcW w:w="2425" w:type="dxa"/>
            <w:tcBorders>
              <w:top w:val="single" w:sz="4" w:space="0" w:color="auto"/>
              <w:left w:val="single" w:sz="4" w:space="0" w:color="auto"/>
              <w:bottom w:val="single" w:sz="4" w:space="0" w:color="auto"/>
              <w:right w:val="single" w:sz="4" w:space="0" w:color="auto"/>
            </w:tcBorders>
            <w:shd w:val="clear" w:color="000000" w:fill="EEECE1"/>
          </w:tcPr>
          <w:p w14:paraId="0E57D928" w14:textId="77777777" w:rsidR="00775C63" w:rsidRDefault="00236231" w:rsidP="0055638F">
            <w:pPr>
              <w:spacing w:after="0"/>
              <w:rPr>
                <w:rFonts w:ascii="Calibri" w:hAnsi="Calibri"/>
                <w:bCs/>
                <w:color w:val="000000"/>
                <w:sz w:val="16"/>
                <w:szCs w:val="16"/>
              </w:rPr>
            </w:pPr>
            <w:r w:rsidRPr="00236231">
              <w:rPr>
                <w:rFonts w:ascii="Calibri" w:hAnsi="Calibri"/>
                <w:bCs/>
                <w:color w:val="000000"/>
                <w:sz w:val="16"/>
                <w:szCs w:val="16"/>
              </w:rPr>
              <w:t xml:space="preserve">Definition of </w:t>
            </w:r>
            <w:r w:rsidR="000936EF">
              <w:rPr>
                <w:rFonts w:ascii="Calibri" w:hAnsi="Calibri"/>
                <w:bCs/>
                <w:color w:val="000000"/>
                <w:sz w:val="16"/>
                <w:szCs w:val="16"/>
              </w:rPr>
              <w:t>N</w:t>
            </w:r>
            <w:r w:rsidR="0055638F">
              <w:rPr>
                <w:rFonts w:ascii="Calibri" w:hAnsi="Calibri"/>
                <w:bCs/>
                <w:color w:val="000000"/>
                <w:sz w:val="16"/>
                <w:szCs w:val="16"/>
              </w:rPr>
              <w:t>o</w:t>
            </w:r>
            <w:r w:rsidRPr="00236231">
              <w:rPr>
                <w:rFonts w:ascii="Calibri" w:hAnsi="Calibri"/>
                <w:bCs/>
                <w:color w:val="000000"/>
                <w:sz w:val="16"/>
                <w:szCs w:val="16"/>
              </w:rPr>
              <w:t>n-core elements</w:t>
            </w:r>
          </w:p>
        </w:tc>
        <w:tc>
          <w:tcPr>
            <w:tcW w:w="12758" w:type="dxa"/>
            <w:tcBorders>
              <w:top w:val="single" w:sz="4" w:space="0" w:color="auto"/>
              <w:left w:val="nil"/>
              <w:bottom w:val="single" w:sz="4" w:space="0" w:color="auto"/>
              <w:right w:val="single" w:sz="4" w:space="0" w:color="auto"/>
            </w:tcBorders>
            <w:shd w:val="clear" w:color="auto" w:fill="auto"/>
          </w:tcPr>
          <w:p w14:paraId="0E57D929" w14:textId="77777777" w:rsidR="00C412F2" w:rsidRPr="00C412F2" w:rsidRDefault="00C412F2" w:rsidP="00C412F2">
            <w:pPr>
              <w:pBdr>
                <w:top w:val="nil"/>
                <w:left w:val="nil"/>
                <w:bottom w:val="nil"/>
                <w:right w:val="nil"/>
                <w:between w:val="nil"/>
                <w:bar w:val="nil"/>
              </w:pBdr>
              <w:spacing w:after="0" w:line="240" w:lineRule="auto"/>
              <w:ind w:left="34"/>
              <w:rPr>
                <w:rFonts w:ascii="Calibri" w:hAnsi="Calibri"/>
                <w:color w:val="000000"/>
                <w:sz w:val="16"/>
                <w:szCs w:val="16"/>
              </w:rPr>
            </w:pPr>
            <w:r w:rsidRPr="00C412F2">
              <w:rPr>
                <w:rFonts w:ascii="Calibri" w:hAnsi="Calibri"/>
                <w:color w:val="000000"/>
                <w:sz w:val="16"/>
                <w:szCs w:val="16"/>
              </w:rPr>
              <w:t>N</w:t>
            </w:r>
            <w:r w:rsidR="003A6BBE">
              <w:rPr>
                <w:rFonts w:ascii="Calibri" w:hAnsi="Calibri"/>
                <w:color w:val="000000"/>
                <w:sz w:val="16"/>
                <w:szCs w:val="16"/>
              </w:rPr>
              <w:t>on-core</w:t>
            </w:r>
            <w:r w:rsidRPr="00C412F2">
              <w:rPr>
                <w:rFonts w:ascii="Calibri" w:hAnsi="Calibri"/>
                <w:color w:val="000000"/>
                <w:sz w:val="16"/>
                <w:szCs w:val="16"/>
              </w:rPr>
              <w:t xml:space="preserve"> elements are those which are unanimously agreed should be included in the dataset but are not supported by level III-2 evidence. These elements may be clinically important and recommended as good practice but are not yet validated or regularly used in patient management.</w:t>
            </w:r>
          </w:p>
          <w:p w14:paraId="0E57D92A" w14:textId="77777777" w:rsidR="00C412F2" w:rsidRPr="00C412F2" w:rsidRDefault="00C412F2" w:rsidP="00C412F2">
            <w:pPr>
              <w:pBdr>
                <w:top w:val="nil"/>
                <w:left w:val="nil"/>
                <w:bottom w:val="nil"/>
                <w:right w:val="nil"/>
                <w:between w:val="nil"/>
                <w:bar w:val="nil"/>
              </w:pBdr>
              <w:spacing w:after="0" w:line="240" w:lineRule="auto"/>
              <w:ind w:left="34"/>
              <w:rPr>
                <w:rFonts w:ascii="Calibri" w:hAnsi="Calibri"/>
                <w:color w:val="000000"/>
                <w:sz w:val="16"/>
                <w:szCs w:val="16"/>
              </w:rPr>
            </w:pPr>
          </w:p>
          <w:p w14:paraId="0E57D92B" w14:textId="77777777" w:rsidR="00775C63" w:rsidRPr="0033413A" w:rsidRDefault="00C412F2" w:rsidP="0060665D">
            <w:pPr>
              <w:pBdr>
                <w:top w:val="nil"/>
                <w:left w:val="nil"/>
                <w:bottom w:val="nil"/>
                <w:right w:val="nil"/>
                <w:between w:val="nil"/>
                <w:bar w:val="nil"/>
              </w:pBdr>
              <w:spacing w:after="0" w:line="240" w:lineRule="auto"/>
              <w:ind w:left="34"/>
              <w:rPr>
                <w:color w:val="000000"/>
                <w:sz w:val="16"/>
                <w:szCs w:val="16"/>
              </w:rPr>
            </w:pPr>
            <w:r w:rsidRPr="00C412F2">
              <w:rPr>
                <w:rFonts w:ascii="Calibri" w:hAnsi="Calibri"/>
                <w:color w:val="000000"/>
                <w:sz w:val="16"/>
                <w:szCs w:val="16"/>
              </w:rPr>
              <w:t xml:space="preserve">Key information other than that which is essential for clinical management, staging or prognosis of the cancer such as macroscopic observations and interpretation, which are fundamental to the histological diagnosis and conclusion e.g., macroscopic tumour details, may be included as either </w:t>
            </w:r>
            <w:r w:rsidR="003A6BBE">
              <w:rPr>
                <w:rFonts w:ascii="Calibri" w:hAnsi="Calibri"/>
                <w:color w:val="000000"/>
                <w:sz w:val="16"/>
                <w:szCs w:val="16"/>
              </w:rPr>
              <w:t>core</w:t>
            </w:r>
            <w:r w:rsidRPr="00C412F2">
              <w:rPr>
                <w:rFonts w:ascii="Calibri" w:hAnsi="Calibri"/>
                <w:color w:val="000000"/>
                <w:sz w:val="16"/>
                <w:szCs w:val="16"/>
              </w:rPr>
              <w:t xml:space="preserve"> or </w:t>
            </w:r>
            <w:r w:rsidR="003A6BBE">
              <w:rPr>
                <w:rFonts w:ascii="Calibri" w:hAnsi="Calibri"/>
                <w:color w:val="000000"/>
                <w:sz w:val="16"/>
                <w:szCs w:val="16"/>
              </w:rPr>
              <w:t>non-core</w:t>
            </w:r>
            <w:r w:rsidRPr="00C412F2">
              <w:rPr>
                <w:rFonts w:ascii="Calibri" w:hAnsi="Calibri"/>
                <w:color w:val="000000"/>
                <w:sz w:val="16"/>
                <w:szCs w:val="16"/>
              </w:rPr>
              <w:t xml:space="preserve"> elements by consensus of the Dataset Authoring Committee.</w:t>
            </w:r>
          </w:p>
        </w:tc>
      </w:tr>
      <w:tr w:rsidR="00775C63" w:rsidRPr="006D1DD6" w14:paraId="0E57D933" w14:textId="77777777" w:rsidTr="00775C63">
        <w:trPr>
          <w:trHeight w:val="657"/>
        </w:trPr>
        <w:tc>
          <w:tcPr>
            <w:tcW w:w="2425" w:type="dxa"/>
            <w:tcBorders>
              <w:top w:val="single" w:sz="4" w:space="0" w:color="auto"/>
              <w:left w:val="single" w:sz="4" w:space="0" w:color="auto"/>
              <w:bottom w:val="single" w:sz="4" w:space="0" w:color="auto"/>
              <w:right w:val="single" w:sz="4" w:space="0" w:color="auto"/>
            </w:tcBorders>
            <w:shd w:val="clear" w:color="000000" w:fill="EEECE1"/>
          </w:tcPr>
          <w:p w14:paraId="0E57D92D" w14:textId="77777777" w:rsidR="00775C63" w:rsidRDefault="00775C63" w:rsidP="00775C63">
            <w:pPr>
              <w:spacing w:after="0"/>
              <w:rPr>
                <w:rFonts w:ascii="Calibri" w:hAnsi="Calibri"/>
                <w:bCs/>
                <w:color w:val="000000"/>
                <w:sz w:val="16"/>
                <w:szCs w:val="16"/>
              </w:rPr>
            </w:pPr>
            <w:r>
              <w:rPr>
                <w:rFonts w:ascii="Calibri" w:hAnsi="Calibri"/>
                <w:bCs/>
                <w:color w:val="000000"/>
                <w:sz w:val="16"/>
                <w:szCs w:val="16"/>
              </w:rPr>
              <w:t>Scope</w:t>
            </w:r>
            <w:r w:rsidR="008A3DC2">
              <w:rPr>
                <w:rFonts w:ascii="Calibri" w:hAnsi="Calibri"/>
                <w:bCs/>
                <w:color w:val="000000"/>
                <w:sz w:val="16"/>
                <w:szCs w:val="16"/>
              </w:rPr>
              <w:t xml:space="preserve"> of this dataset</w:t>
            </w:r>
          </w:p>
        </w:tc>
        <w:tc>
          <w:tcPr>
            <w:tcW w:w="12758" w:type="dxa"/>
            <w:tcBorders>
              <w:top w:val="single" w:sz="4" w:space="0" w:color="auto"/>
              <w:left w:val="nil"/>
              <w:bottom w:val="single" w:sz="4" w:space="0" w:color="auto"/>
              <w:right w:val="single" w:sz="4" w:space="0" w:color="auto"/>
            </w:tcBorders>
            <w:shd w:val="clear" w:color="auto" w:fill="auto"/>
          </w:tcPr>
          <w:p w14:paraId="0E57D92E" w14:textId="77777777" w:rsidR="002D6D38" w:rsidRPr="002D6D38" w:rsidRDefault="002D6D38" w:rsidP="002D6D38">
            <w:pPr>
              <w:spacing w:after="0" w:line="240" w:lineRule="auto"/>
              <w:rPr>
                <w:rFonts w:ascii="Calibri" w:hAnsi="Calibri" w:cs="Calibri"/>
                <w:color w:val="000000"/>
                <w:sz w:val="16"/>
                <w:szCs w:val="16"/>
                <w:lang w:val="en-US"/>
              </w:rPr>
            </w:pPr>
            <w:r w:rsidRPr="002D6D38">
              <w:rPr>
                <w:rFonts w:ascii="Calibri" w:hAnsi="Calibri" w:cs="Calibri"/>
                <w:color w:val="000000"/>
                <w:sz w:val="16"/>
                <w:szCs w:val="16"/>
              </w:rPr>
              <w:t>The dataset has been developed for the pathology reporting of biopsy specimens of primary tumour in bone. Ewing sarcoma and related round cell sarcomas with primary bone presentation are also covered by this dataset. A separate dataset is available for reporting of resection specimens of primary tumour in bone.</w:t>
            </w:r>
            <w:r w:rsidRPr="002D6D38">
              <w:rPr>
                <w:rFonts w:ascii="Calibri" w:hAnsi="Calibri" w:cs="Calibri"/>
                <w:color w:val="000000"/>
                <w:sz w:val="16"/>
                <w:szCs w:val="16"/>
                <w:lang w:val="en-US"/>
              </w:rPr>
              <w:t xml:space="preserve"> Some types of soft tissue sarcoma may on rare occasion arise primarily in bone and should be reported using the primary </w:t>
            </w:r>
            <w:proofErr w:type="spellStart"/>
            <w:r w:rsidRPr="002D6D38">
              <w:rPr>
                <w:rFonts w:ascii="Calibri" w:hAnsi="Calibri" w:cs="Calibri"/>
                <w:color w:val="000000"/>
                <w:sz w:val="16"/>
                <w:szCs w:val="16"/>
                <w:lang w:val="en-US"/>
              </w:rPr>
              <w:t>tumour</w:t>
            </w:r>
            <w:proofErr w:type="spellEnd"/>
            <w:r w:rsidRPr="002D6D38">
              <w:rPr>
                <w:rFonts w:ascii="Calibri" w:hAnsi="Calibri" w:cs="Calibri"/>
                <w:color w:val="000000"/>
                <w:sz w:val="16"/>
                <w:szCs w:val="16"/>
                <w:lang w:val="en-US"/>
              </w:rPr>
              <w:t xml:space="preserve"> in bone dataset, rather than the soft tissue sarcoma dataset.</w:t>
            </w:r>
          </w:p>
          <w:p w14:paraId="0E57D92F" w14:textId="77777777" w:rsidR="002D6D38" w:rsidRPr="002D6D38" w:rsidRDefault="002D6D38" w:rsidP="002D6D38">
            <w:pPr>
              <w:spacing w:after="0" w:line="240" w:lineRule="auto"/>
              <w:rPr>
                <w:rFonts w:ascii="Calibri" w:hAnsi="Calibri" w:cs="Calibri"/>
                <w:color w:val="000000"/>
                <w:sz w:val="16"/>
                <w:szCs w:val="16"/>
              </w:rPr>
            </w:pPr>
          </w:p>
          <w:p w14:paraId="0E57D930" w14:textId="77777777" w:rsidR="002D6D38" w:rsidRPr="002D6D38" w:rsidRDefault="002D6D38" w:rsidP="002D6D38">
            <w:pPr>
              <w:spacing w:after="0" w:line="240" w:lineRule="auto"/>
              <w:rPr>
                <w:rFonts w:ascii="Calibri" w:hAnsi="Calibri" w:cs="Calibri"/>
                <w:color w:val="000000"/>
                <w:sz w:val="16"/>
                <w:szCs w:val="16"/>
              </w:rPr>
            </w:pPr>
            <w:r w:rsidRPr="002D6D38">
              <w:rPr>
                <w:rFonts w:ascii="Calibri" w:hAnsi="Calibri" w:cs="Calibri"/>
                <w:color w:val="000000"/>
                <w:sz w:val="16"/>
                <w:szCs w:val="16"/>
              </w:rPr>
              <w:t xml:space="preserve">If biopsies are taken from multiple tumour nodules at different sites, these should be documented separately. </w:t>
            </w:r>
          </w:p>
          <w:p w14:paraId="0E57D931" w14:textId="77777777" w:rsidR="002D6D38" w:rsidRPr="002D6D38" w:rsidRDefault="002D6D38" w:rsidP="002D6D38">
            <w:pPr>
              <w:spacing w:after="0" w:line="240" w:lineRule="auto"/>
              <w:rPr>
                <w:rFonts w:ascii="Calibri" w:hAnsi="Calibri" w:cs="Calibri"/>
                <w:color w:val="000000"/>
                <w:sz w:val="16"/>
                <w:szCs w:val="16"/>
              </w:rPr>
            </w:pPr>
          </w:p>
          <w:p w14:paraId="0E57D932" w14:textId="77777777" w:rsidR="00775C63" w:rsidRPr="00B67C93" w:rsidRDefault="002D6D38" w:rsidP="00A36FBC">
            <w:pPr>
              <w:spacing w:after="0" w:line="240" w:lineRule="auto"/>
              <w:rPr>
                <w:rFonts w:ascii="Calibri" w:hAnsi="Calibri" w:cs="Calibri"/>
                <w:color w:val="000000"/>
                <w:sz w:val="16"/>
                <w:szCs w:val="16"/>
              </w:rPr>
            </w:pPr>
            <w:r w:rsidRPr="002D6D38">
              <w:rPr>
                <w:rFonts w:ascii="Calibri" w:hAnsi="Calibri" w:cs="Calibri"/>
                <w:color w:val="000000"/>
                <w:sz w:val="16"/>
                <w:szCs w:val="16"/>
              </w:rPr>
              <w:t>Haematologic malignancies and metastatic specimens are excluded from this dataset.</w:t>
            </w:r>
          </w:p>
        </w:tc>
      </w:tr>
    </w:tbl>
    <w:p w14:paraId="0E57D934" w14:textId="77777777" w:rsidR="00540C97" w:rsidRPr="00511C16" w:rsidRDefault="00540C97">
      <w:pPr>
        <w:rPr>
          <w:sz w:val="20"/>
          <w:szCs w:val="20"/>
        </w:rPr>
      </w:pPr>
    </w:p>
    <w:tbl>
      <w:tblPr>
        <w:tblW w:w="15183" w:type="dxa"/>
        <w:tblInd w:w="93" w:type="dxa"/>
        <w:tblLayout w:type="fixed"/>
        <w:tblLook w:val="04A0" w:firstRow="1" w:lastRow="0" w:firstColumn="1" w:lastColumn="0" w:noHBand="0" w:noVBand="1"/>
      </w:tblPr>
      <w:tblGrid>
        <w:gridCol w:w="866"/>
        <w:gridCol w:w="1559"/>
        <w:gridCol w:w="2835"/>
        <w:gridCol w:w="8222"/>
        <w:gridCol w:w="1701"/>
      </w:tblGrid>
      <w:tr w:rsidR="005767BE" w14:paraId="0E57D93B" w14:textId="77777777" w:rsidTr="00BD7708">
        <w:trPr>
          <w:tblHeader/>
        </w:trPr>
        <w:tc>
          <w:tcPr>
            <w:tcW w:w="866" w:type="dxa"/>
            <w:tcBorders>
              <w:top w:val="single" w:sz="4" w:space="0" w:color="auto"/>
              <w:left w:val="single" w:sz="4" w:space="0" w:color="auto"/>
              <w:bottom w:val="single" w:sz="4" w:space="0" w:color="auto"/>
              <w:right w:val="single" w:sz="4" w:space="0" w:color="auto"/>
            </w:tcBorders>
            <w:shd w:val="clear" w:color="000000" w:fill="D9D9D9"/>
            <w:hideMark/>
          </w:tcPr>
          <w:p w14:paraId="0E57D935" w14:textId="4796DA9F" w:rsidR="0018179D" w:rsidRPr="00775C63" w:rsidRDefault="00775C63" w:rsidP="0018179D">
            <w:pPr>
              <w:spacing w:after="0"/>
              <w:rPr>
                <w:rFonts w:ascii="Calibri" w:hAnsi="Calibri"/>
                <w:b/>
                <w:bCs/>
                <w:vanish/>
                <w:color w:val="000000"/>
                <w:sz w:val="16"/>
                <w:szCs w:val="16"/>
                <w:specVanish/>
              </w:rPr>
            </w:pPr>
            <w:r>
              <w:rPr>
                <w:rFonts w:ascii="Calibri" w:hAnsi="Calibri"/>
                <w:b/>
                <w:bCs/>
                <w:color w:val="000000"/>
                <w:sz w:val="16"/>
                <w:szCs w:val="16"/>
              </w:rPr>
              <w:t>C</w:t>
            </w:r>
            <w:r w:rsidR="0018179D">
              <w:rPr>
                <w:rFonts w:ascii="Calibri" w:hAnsi="Calibri"/>
                <w:b/>
                <w:bCs/>
                <w:color w:val="000000"/>
                <w:sz w:val="16"/>
                <w:szCs w:val="16"/>
              </w:rPr>
              <w:t>ore</w:t>
            </w:r>
            <w:r w:rsidR="00AE0605">
              <w:rPr>
                <w:rFonts w:ascii="Calibri" w:hAnsi="Calibri"/>
                <w:b/>
                <w:bCs/>
                <w:color w:val="000000"/>
                <w:sz w:val="16"/>
                <w:szCs w:val="16"/>
              </w:rPr>
              <w:t>/</w:t>
            </w:r>
            <w:r w:rsidR="00484C05">
              <w:rPr>
                <w:rFonts w:ascii="Calibri" w:hAnsi="Calibri"/>
                <w:b/>
                <w:bCs/>
                <w:color w:val="000000"/>
                <w:sz w:val="16"/>
                <w:szCs w:val="16"/>
              </w:rPr>
              <w:t xml:space="preserve"> </w:t>
            </w:r>
            <w:r w:rsidR="004E0BEF">
              <w:rPr>
                <w:rFonts w:ascii="Calibri" w:hAnsi="Calibri"/>
                <w:b/>
                <w:bCs/>
                <w:color w:val="000000"/>
                <w:sz w:val="16"/>
                <w:szCs w:val="16"/>
              </w:rPr>
              <w:t xml:space="preserve"> </w:t>
            </w:r>
          </w:p>
          <w:p w14:paraId="0E57D936" w14:textId="77777777" w:rsidR="005767BE" w:rsidRDefault="00C07A30">
            <w:pPr>
              <w:rPr>
                <w:rFonts w:ascii="Calibri" w:hAnsi="Calibri"/>
                <w:b/>
                <w:bCs/>
                <w:color w:val="000000"/>
                <w:sz w:val="16"/>
                <w:szCs w:val="16"/>
              </w:rPr>
            </w:pPr>
            <w:r>
              <w:rPr>
                <w:rFonts w:ascii="Calibri" w:hAnsi="Calibri"/>
                <w:b/>
                <w:bCs/>
                <w:color w:val="000000"/>
                <w:sz w:val="16"/>
                <w:szCs w:val="16"/>
              </w:rPr>
              <w:t>Non-core</w:t>
            </w:r>
          </w:p>
        </w:tc>
        <w:tc>
          <w:tcPr>
            <w:tcW w:w="1559" w:type="dxa"/>
            <w:tcBorders>
              <w:top w:val="single" w:sz="4" w:space="0" w:color="auto"/>
              <w:left w:val="nil"/>
              <w:bottom w:val="single" w:sz="4" w:space="0" w:color="auto"/>
              <w:right w:val="single" w:sz="4" w:space="0" w:color="auto"/>
            </w:tcBorders>
            <w:shd w:val="clear" w:color="000000" w:fill="D9D9D9"/>
            <w:hideMark/>
          </w:tcPr>
          <w:p w14:paraId="0E57D937" w14:textId="77777777" w:rsidR="005767BE" w:rsidRDefault="005767BE">
            <w:pPr>
              <w:rPr>
                <w:rFonts w:ascii="Calibri" w:hAnsi="Calibri"/>
                <w:b/>
                <w:bCs/>
                <w:color w:val="000000"/>
                <w:sz w:val="16"/>
                <w:szCs w:val="16"/>
              </w:rPr>
            </w:pPr>
            <w:r>
              <w:rPr>
                <w:rFonts w:ascii="Calibri" w:hAnsi="Calibri"/>
                <w:b/>
                <w:bCs/>
                <w:color w:val="000000"/>
                <w:sz w:val="16"/>
                <w:szCs w:val="16"/>
              </w:rPr>
              <w:t>Element name</w:t>
            </w:r>
          </w:p>
        </w:tc>
        <w:tc>
          <w:tcPr>
            <w:tcW w:w="2835" w:type="dxa"/>
            <w:tcBorders>
              <w:top w:val="single" w:sz="4" w:space="0" w:color="auto"/>
              <w:left w:val="nil"/>
              <w:bottom w:val="single" w:sz="4" w:space="0" w:color="auto"/>
              <w:right w:val="single" w:sz="4" w:space="0" w:color="auto"/>
            </w:tcBorders>
            <w:shd w:val="clear" w:color="000000" w:fill="D9D9D9"/>
            <w:hideMark/>
          </w:tcPr>
          <w:p w14:paraId="0E57D938" w14:textId="77777777" w:rsidR="005767BE" w:rsidRPr="00B67C93" w:rsidRDefault="005767BE">
            <w:pPr>
              <w:rPr>
                <w:rFonts w:ascii="Calibri" w:hAnsi="Calibri"/>
                <w:b/>
                <w:bCs/>
                <w:color w:val="A6A6A6" w:themeColor="background1" w:themeShade="A6"/>
                <w:sz w:val="16"/>
                <w:szCs w:val="16"/>
              </w:rPr>
            </w:pPr>
            <w:r w:rsidRPr="0006001F">
              <w:rPr>
                <w:rFonts w:ascii="Calibri" w:hAnsi="Calibri"/>
                <w:b/>
                <w:bCs/>
                <w:color w:val="000000"/>
                <w:sz w:val="16"/>
                <w:szCs w:val="16"/>
              </w:rPr>
              <w:t>Values</w:t>
            </w:r>
          </w:p>
        </w:tc>
        <w:tc>
          <w:tcPr>
            <w:tcW w:w="8222" w:type="dxa"/>
            <w:tcBorders>
              <w:top w:val="single" w:sz="4" w:space="0" w:color="auto"/>
              <w:left w:val="nil"/>
              <w:bottom w:val="single" w:sz="4" w:space="0" w:color="auto"/>
              <w:right w:val="single" w:sz="4" w:space="0" w:color="auto"/>
            </w:tcBorders>
            <w:shd w:val="clear" w:color="000000" w:fill="D9D9D9"/>
            <w:hideMark/>
          </w:tcPr>
          <w:p w14:paraId="0E57D939" w14:textId="77777777" w:rsidR="005767BE" w:rsidRDefault="005767BE">
            <w:pPr>
              <w:rPr>
                <w:rFonts w:ascii="Calibri" w:hAnsi="Calibri"/>
                <w:b/>
                <w:bCs/>
                <w:color w:val="000000"/>
                <w:sz w:val="16"/>
                <w:szCs w:val="16"/>
              </w:rPr>
            </w:pPr>
            <w:r>
              <w:rPr>
                <w:rFonts w:ascii="Calibri" w:hAnsi="Calibri"/>
                <w:b/>
                <w:bCs/>
                <w:color w:val="000000"/>
                <w:sz w:val="16"/>
                <w:szCs w:val="16"/>
              </w:rPr>
              <w:t>Commentary</w:t>
            </w:r>
          </w:p>
        </w:tc>
        <w:tc>
          <w:tcPr>
            <w:tcW w:w="1701" w:type="dxa"/>
            <w:tcBorders>
              <w:top w:val="single" w:sz="4" w:space="0" w:color="auto"/>
              <w:left w:val="nil"/>
              <w:bottom w:val="single" w:sz="4" w:space="0" w:color="auto"/>
              <w:right w:val="single" w:sz="4" w:space="0" w:color="auto"/>
            </w:tcBorders>
            <w:shd w:val="clear" w:color="000000" w:fill="D9D9D9"/>
            <w:hideMark/>
          </w:tcPr>
          <w:p w14:paraId="0E57D93A" w14:textId="77777777" w:rsidR="005767BE" w:rsidRDefault="005767BE">
            <w:pPr>
              <w:rPr>
                <w:rFonts w:ascii="Calibri" w:hAnsi="Calibri"/>
                <w:b/>
                <w:bCs/>
                <w:color w:val="000000"/>
                <w:sz w:val="16"/>
                <w:szCs w:val="16"/>
              </w:rPr>
            </w:pPr>
            <w:r>
              <w:rPr>
                <w:rFonts w:ascii="Calibri" w:hAnsi="Calibri"/>
                <w:b/>
                <w:bCs/>
                <w:color w:val="000000"/>
                <w:sz w:val="16"/>
                <w:szCs w:val="16"/>
              </w:rPr>
              <w:t>Implementation notes</w:t>
            </w:r>
          </w:p>
        </w:tc>
      </w:tr>
      <w:tr w:rsidR="00594B08" w14:paraId="0E57D947" w14:textId="77777777" w:rsidTr="00BD7708">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0E57D93C" w14:textId="77777777" w:rsidR="00594B08" w:rsidRPr="0006001F" w:rsidRDefault="00B0592C" w:rsidP="00181A22">
            <w:pPr>
              <w:rPr>
                <w:rFonts w:ascii="Calibri" w:hAnsi="Calibri"/>
                <w:color w:val="A6A6A6" w:themeColor="background1" w:themeShade="A6"/>
                <w:sz w:val="16"/>
                <w:szCs w:val="16"/>
              </w:rPr>
            </w:pPr>
            <w:r w:rsidRPr="00947F35">
              <w:rPr>
                <w:rFonts w:ascii="Calibri" w:hAnsi="Calibri"/>
                <w:sz w:val="16"/>
                <w:szCs w:val="16"/>
              </w:rPr>
              <w:t>Non-core</w:t>
            </w:r>
          </w:p>
        </w:tc>
        <w:tc>
          <w:tcPr>
            <w:tcW w:w="1559" w:type="dxa"/>
            <w:tcBorders>
              <w:top w:val="nil"/>
              <w:left w:val="nil"/>
              <w:bottom w:val="single" w:sz="4" w:space="0" w:color="auto"/>
              <w:right w:val="single" w:sz="4" w:space="0" w:color="auto"/>
            </w:tcBorders>
            <w:shd w:val="clear" w:color="000000" w:fill="EEECE1"/>
          </w:tcPr>
          <w:p w14:paraId="0E57D93D" w14:textId="77777777" w:rsidR="00594B08" w:rsidRPr="0006001F" w:rsidRDefault="00B0592C" w:rsidP="00B0592C">
            <w:pPr>
              <w:spacing w:after="0"/>
              <w:rPr>
                <w:rFonts w:ascii="Calibri" w:hAnsi="Calibri"/>
                <w:color w:val="A6A6A6" w:themeColor="background1" w:themeShade="A6"/>
                <w:sz w:val="16"/>
                <w:szCs w:val="16"/>
              </w:rPr>
            </w:pPr>
            <w:r w:rsidRPr="000936EF">
              <w:rPr>
                <w:rFonts w:ascii="Calibri" w:hAnsi="Calibri"/>
                <w:bCs/>
                <w:color w:val="808080" w:themeColor="background1" w:themeShade="80"/>
                <w:sz w:val="16"/>
                <w:szCs w:val="16"/>
              </w:rPr>
              <w:t>CLINICAL INFORMATION</w:t>
            </w:r>
          </w:p>
        </w:tc>
        <w:tc>
          <w:tcPr>
            <w:tcW w:w="2835" w:type="dxa"/>
            <w:tcBorders>
              <w:top w:val="nil"/>
              <w:left w:val="nil"/>
              <w:bottom w:val="single" w:sz="4" w:space="0" w:color="auto"/>
              <w:right w:val="single" w:sz="4" w:space="0" w:color="auto"/>
            </w:tcBorders>
            <w:shd w:val="clear" w:color="auto" w:fill="auto"/>
          </w:tcPr>
          <w:p w14:paraId="0E57D93E" w14:textId="77777777" w:rsidR="00786237" w:rsidRPr="000936EF" w:rsidRDefault="00B0592C" w:rsidP="00786237">
            <w:pPr>
              <w:pStyle w:val="ListParagraph"/>
              <w:numPr>
                <w:ilvl w:val="0"/>
                <w:numId w:val="3"/>
              </w:numPr>
              <w:autoSpaceDE w:val="0"/>
              <w:autoSpaceDN w:val="0"/>
              <w:adjustRightInd w:val="0"/>
              <w:spacing w:after="0" w:line="240" w:lineRule="auto"/>
              <w:ind w:left="176" w:hanging="142"/>
              <w:rPr>
                <w:rFonts w:cs="Verdana"/>
                <w:color w:val="808080" w:themeColor="background1" w:themeShade="80"/>
                <w:sz w:val="24"/>
                <w:szCs w:val="24"/>
              </w:rPr>
            </w:pPr>
            <w:r w:rsidRPr="000936EF">
              <w:rPr>
                <w:rFonts w:cs="Verdana"/>
                <w:color w:val="808080" w:themeColor="background1" w:themeShade="80"/>
                <w:sz w:val="16"/>
                <w:szCs w:val="16"/>
              </w:rPr>
              <w:t>Information not provided</w:t>
            </w:r>
          </w:p>
          <w:p w14:paraId="0E57D93F" w14:textId="77777777" w:rsidR="00786237" w:rsidRPr="000936EF" w:rsidRDefault="00786237" w:rsidP="00786237">
            <w:pPr>
              <w:pStyle w:val="ListParagraph"/>
              <w:numPr>
                <w:ilvl w:val="0"/>
                <w:numId w:val="2"/>
              </w:numPr>
              <w:autoSpaceDE w:val="0"/>
              <w:autoSpaceDN w:val="0"/>
              <w:adjustRightInd w:val="0"/>
              <w:spacing w:after="40" w:line="181" w:lineRule="atLeast"/>
              <w:ind w:left="176" w:hanging="142"/>
              <w:rPr>
                <w:rFonts w:ascii="Calibri" w:hAnsi="Calibri"/>
                <w:color w:val="808080" w:themeColor="background1" w:themeShade="80"/>
                <w:sz w:val="16"/>
                <w:szCs w:val="16"/>
              </w:rPr>
            </w:pPr>
            <w:r w:rsidRPr="000936EF">
              <w:rPr>
                <w:rFonts w:cs="Verdana"/>
                <w:color w:val="808080" w:themeColor="background1" w:themeShade="80"/>
                <w:sz w:val="16"/>
                <w:szCs w:val="16"/>
              </w:rPr>
              <w:t xml:space="preserve">Pre-existing skeletal disease, </w:t>
            </w:r>
            <w:r w:rsidRPr="000936EF">
              <w:rPr>
                <w:rFonts w:cs="Verdana"/>
                <w:i/>
                <w:iCs/>
                <w:color w:val="808080" w:themeColor="background1" w:themeShade="80"/>
                <w:sz w:val="16"/>
                <w:szCs w:val="16"/>
              </w:rPr>
              <w:t>specify</w:t>
            </w:r>
          </w:p>
          <w:p w14:paraId="0E57D940" w14:textId="77777777" w:rsidR="00A425D2" w:rsidRPr="000936EF" w:rsidRDefault="00786237" w:rsidP="00786237">
            <w:pPr>
              <w:pStyle w:val="ListParagraph"/>
              <w:numPr>
                <w:ilvl w:val="0"/>
                <w:numId w:val="2"/>
              </w:numPr>
              <w:autoSpaceDE w:val="0"/>
              <w:autoSpaceDN w:val="0"/>
              <w:adjustRightInd w:val="0"/>
              <w:spacing w:after="40" w:line="181" w:lineRule="atLeast"/>
              <w:ind w:left="176" w:hanging="142"/>
              <w:rPr>
                <w:rFonts w:ascii="Calibri" w:hAnsi="Calibri"/>
                <w:color w:val="808080" w:themeColor="background1" w:themeShade="80"/>
                <w:sz w:val="16"/>
                <w:szCs w:val="16"/>
              </w:rPr>
            </w:pPr>
            <w:r w:rsidRPr="000936EF">
              <w:rPr>
                <w:rFonts w:cs="Verdana"/>
                <w:color w:val="808080" w:themeColor="background1" w:themeShade="80"/>
                <w:sz w:val="16"/>
                <w:szCs w:val="16"/>
              </w:rPr>
              <w:t xml:space="preserve">Familial syndrome, </w:t>
            </w:r>
            <w:r w:rsidR="00A425D2" w:rsidRPr="000936EF">
              <w:rPr>
                <w:rFonts w:cs="Verdana"/>
                <w:i/>
                <w:iCs/>
                <w:color w:val="808080" w:themeColor="background1" w:themeShade="80"/>
                <w:sz w:val="16"/>
                <w:szCs w:val="16"/>
              </w:rPr>
              <w:t>specify</w:t>
            </w:r>
          </w:p>
          <w:p w14:paraId="0E57D941" w14:textId="77777777" w:rsidR="00786237" w:rsidRPr="000936EF" w:rsidRDefault="00786237" w:rsidP="00786237">
            <w:pPr>
              <w:pStyle w:val="ListParagraph"/>
              <w:numPr>
                <w:ilvl w:val="0"/>
                <w:numId w:val="2"/>
              </w:numPr>
              <w:autoSpaceDE w:val="0"/>
              <w:autoSpaceDN w:val="0"/>
              <w:adjustRightInd w:val="0"/>
              <w:spacing w:after="40" w:line="181" w:lineRule="atLeast"/>
              <w:ind w:left="176" w:hanging="142"/>
              <w:rPr>
                <w:rFonts w:ascii="Calibri" w:hAnsi="Calibri"/>
                <w:color w:val="808080" w:themeColor="background1" w:themeShade="80"/>
                <w:sz w:val="16"/>
                <w:szCs w:val="16"/>
              </w:rPr>
            </w:pPr>
            <w:r w:rsidRPr="000936EF">
              <w:rPr>
                <w:rFonts w:cs="Verdana"/>
                <w:color w:val="808080" w:themeColor="background1" w:themeShade="80"/>
                <w:sz w:val="16"/>
                <w:szCs w:val="16"/>
              </w:rPr>
              <w:t>Multifocal disease,</w:t>
            </w:r>
            <w:r w:rsidRPr="000936EF">
              <w:rPr>
                <w:rFonts w:cs="Verdana"/>
                <w:i/>
                <w:color w:val="808080" w:themeColor="background1" w:themeShade="80"/>
                <w:sz w:val="16"/>
                <w:szCs w:val="16"/>
              </w:rPr>
              <w:t xml:space="preserve"> specify</w:t>
            </w:r>
          </w:p>
          <w:p w14:paraId="0E57D942" w14:textId="77777777" w:rsidR="00B0592C" w:rsidRPr="00B67C93" w:rsidRDefault="00A425D2" w:rsidP="00786237">
            <w:pPr>
              <w:pStyle w:val="ListParagraph"/>
              <w:numPr>
                <w:ilvl w:val="0"/>
                <w:numId w:val="2"/>
              </w:numPr>
              <w:autoSpaceDE w:val="0"/>
              <w:autoSpaceDN w:val="0"/>
              <w:adjustRightInd w:val="0"/>
              <w:spacing w:after="40" w:line="181" w:lineRule="atLeast"/>
              <w:ind w:left="176" w:hanging="142"/>
              <w:rPr>
                <w:rFonts w:cs="Verdana"/>
                <w:color w:val="A6A6A6" w:themeColor="background1" w:themeShade="A6"/>
                <w:sz w:val="16"/>
                <w:szCs w:val="16"/>
              </w:rPr>
            </w:pPr>
            <w:r w:rsidRPr="000936EF">
              <w:rPr>
                <w:rFonts w:cs="Verdana"/>
                <w:color w:val="808080" w:themeColor="background1" w:themeShade="80"/>
                <w:sz w:val="16"/>
                <w:szCs w:val="16"/>
              </w:rPr>
              <w:t>O</w:t>
            </w:r>
            <w:r w:rsidR="00786237" w:rsidRPr="000936EF">
              <w:rPr>
                <w:rFonts w:cs="Verdana"/>
                <w:color w:val="808080" w:themeColor="background1" w:themeShade="80"/>
                <w:sz w:val="16"/>
                <w:szCs w:val="16"/>
              </w:rPr>
              <w:t>ther (e.g., prior radiation therapy, implants, fracture)</w:t>
            </w:r>
            <w:r w:rsidRPr="000936EF">
              <w:rPr>
                <w:rFonts w:cs="Verdana"/>
                <w:color w:val="808080" w:themeColor="background1" w:themeShade="80"/>
                <w:sz w:val="16"/>
                <w:szCs w:val="16"/>
              </w:rPr>
              <w:t xml:space="preserve">, </w:t>
            </w:r>
            <w:r w:rsidRPr="000936EF">
              <w:rPr>
                <w:rFonts w:cs="Verdana"/>
                <w:i/>
                <w:color w:val="808080" w:themeColor="background1" w:themeShade="80"/>
                <w:sz w:val="16"/>
                <w:szCs w:val="16"/>
              </w:rPr>
              <w:t>specify</w:t>
            </w:r>
          </w:p>
        </w:tc>
        <w:tc>
          <w:tcPr>
            <w:tcW w:w="8222" w:type="dxa"/>
            <w:tcBorders>
              <w:top w:val="nil"/>
              <w:left w:val="nil"/>
              <w:bottom w:val="single" w:sz="4" w:space="0" w:color="auto"/>
              <w:right w:val="single" w:sz="4" w:space="0" w:color="auto"/>
            </w:tcBorders>
            <w:shd w:val="clear" w:color="auto" w:fill="auto"/>
          </w:tcPr>
          <w:p w14:paraId="0E57D943" w14:textId="77777777" w:rsidR="00786237" w:rsidRPr="00786237" w:rsidRDefault="00786237" w:rsidP="00786237">
            <w:pPr>
              <w:keepNext/>
              <w:keepLines/>
              <w:spacing w:after="0" w:line="240" w:lineRule="auto"/>
              <w:outlineLvl w:val="0"/>
              <w:rPr>
                <w:rFonts w:ascii="Calibri" w:eastAsia="Calibri" w:hAnsi="Calibri" w:cs="Calibri"/>
                <w:sz w:val="16"/>
                <w:szCs w:val="16"/>
              </w:rPr>
            </w:pPr>
            <w:r w:rsidRPr="00786237">
              <w:rPr>
                <w:rFonts w:ascii="Calibri" w:eastAsia="Calibri" w:hAnsi="Calibri" w:cs="Calibri"/>
                <w:sz w:val="16"/>
                <w:szCs w:val="16"/>
              </w:rPr>
              <w:t>For accurate diagnosis of bone tumours, a multidisciplinary ap</w:t>
            </w:r>
            <w:r w:rsidR="0060665D">
              <w:rPr>
                <w:rFonts w:ascii="Calibri" w:eastAsia="Calibri" w:hAnsi="Calibri" w:cs="Calibri"/>
                <w:sz w:val="16"/>
                <w:szCs w:val="16"/>
              </w:rPr>
              <w:t xml:space="preserve">proach is imperative. It is the </w:t>
            </w:r>
            <w:r w:rsidRPr="00786237">
              <w:rPr>
                <w:rFonts w:ascii="Calibri" w:eastAsia="Calibri" w:hAnsi="Calibri" w:cs="Calibri"/>
                <w:sz w:val="16"/>
                <w:szCs w:val="16"/>
              </w:rPr>
              <w:t>responsibility of the clinician or radiologist requesting the pathologic</w:t>
            </w:r>
            <w:r w:rsidR="0060665D">
              <w:rPr>
                <w:rFonts w:ascii="Calibri" w:eastAsia="Calibri" w:hAnsi="Calibri" w:cs="Calibri"/>
                <w:sz w:val="16"/>
                <w:szCs w:val="16"/>
              </w:rPr>
              <w:t xml:space="preserve">al examination of a specimen to </w:t>
            </w:r>
            <w:r w:rsidRPr="00786237">
              <w:rPr>
                <w:rFonts w:ascii="Calibri" w:eastAsia="Calibri" w:hAnsi="Calibri" w:cs="Calibri"/>
                <w:sz w:val="16"/>
                <w:szCs w:val="16"/>
              </w:rPr>
              <w:t>provide information to the pathologist that will have an impact on the d</w:t>
            </w:r>
            <w:r w:rsidR="0060665D">
              <w:rPr>
                <w:rFonts w:ascii="Calibri" w:eastAsia="Calibri" w:hAnsi="Calibri" w:cs="Calibri"/>
                <w:sz w:val="16"/>
                <w:szCs w:val="16"/>
              </w:rPr>
              <w:t xml:space="preserve">iagnostic process or affect its </w:t>
            </w:r>
            <w:r w:rsidRPr="00786237">
              <w:rPr>
                <w:rFonts w:ascii="Calibri" w:eastAsia="Calibri" w:hAnsi="Calibri" w:cs="Calibri"/>
                <w:sz w:val="16"/>
                <w:szCs w:val="16"/>
              </w:rPr>
              <w:t>interpretation. The use of a standard pathology requisition/reques</w:t>
            </w:r>
            <w:r w:rsidR="0060665D">
              <w:rPr>
                <w:rFonts w:ascii="Calibri" w:eastAsia="Calibri" w:hAnsi="Calibri" w:cs="Calibri"/>
                <w:sz w:val="16"/>
                <w:szCs w:val="16"/>
              </w:rPr>
              <w:t xml:space="preserve">t form including a checklist of </w:t>
            </w:r>
            <w:r w:rsidRPr="00786237">
              <w:rPr>
                <w:rFonts w:ascii="Calibri" w:eastAsia="Calibri" w:hAnsi="Calibri" w:cs="Calibri"/>
                <w:sz w:val="16"/>
                <w:szCs w:val="16"/>
              </w:rPr>
              <w:t>important clinical information is strongly encouraged to help ensure that important clinical data is</w:t>
            </w:r>
          </w:p>
          <w:p w14:paraId="0E57D944" w14:textId="77777777" w:rsidR="00786237" w:rsidRPr="00786237" w:rsidRDefault="00786237" w:rsidP="00786237">
            <w:pPr>
              <w:keepNext/>
              <w:keepLines/>
              <w:spacing w:after="0" w:line="240" w:lineRule="auto"/>
              <w:outlineLvl w:val="0"/>
              <w:rPr>
                <w:rFonts w:ascii="Calibri" w:eastAsia="Calibri" w:hAnsi="Calibri" w:cs="Calibri"/>
                <w:sz w:val="16"/>
                <w:szCs w:val="16"/>
              </w:rPr>
            </w:pPr>
            <w:r w:rsidRPr="00786237">
              <w:rPr>
                <w:rFonts w:ascii="Calibri" w:eastAsia="Calibri" w:hAnsi="Calibri" w:cs="Calibri"/>
                <w:sz w:val="16"/>
                <w:szCs w:val="16"/>
              </w:rPr>
              <w:t>provided by th</w:t>
            </w:r>
            <w:r w:rsidR="0060665D">
              <w:rPr>
                <w:rFonts w:ascii="Calibri" w:eastAsia="Calibri" w:hAnsi="Calibri" w:cs="Calibri"/>
                <w:sz w:val="16"/>
                <w:szCs w:val="16"/>
              </w:rPr>
              <w:t xml:space="preserve">e clinicians with the specimen. </w:t>
            </w:r>
            <w:r w:rsidRPr="00786237">
              <w:rPr>
                <w:rFonts w:ascii="Calibri" w:eastAsia="Calibri" w:hAnsi="Calibri" w:cs="Calibri"/>
                <w:sz w:val="16"/>
                <w:szCs w:val="16"/>
              </w:rPr>
              <w:t>It is also the responsibility of the pathologist to verify that all radiol</w:t>
            </w:r>
            <w:r w:rsidR="0060665D">
              <w:rPr>
                <w:rFonts w:ascii="Calibri" w:eastAsia="Calibri" w:hAnsi="Calibri" w:cs="Calibri"/>
                <w:sz w:val="16"/>
                <w:szCs w:val="16"/>
              </w:rPr>
              <w:t xml:space="preserve">ogical and clinical information </w:t>
            </w:r>
            <w:r w:rsidRPr="00786237">
              <w:rPr>
                <w:rFonts w:ascii="Calibri" w:eastAsia="Calibri" w:hAnsi="Calibri" w:cs="Calibri"/>
                <w:sz w:val="16"/>
                <w:szCs w:val="16"/>
              </w:rPr>
              <w:t>that is essential to make a diagnosis is available to guarantee that the final diagnosis is made within</w:t>
            </w:r>
          </w:p>
          <w:p w14:paraId="0E57D945" w14:textId="77777777" w:rsidR="007E6D12" w:rsidRPr="0060665D" w:rsidRDefault="00786237" w:rsidP="0060665D">
            <w:pPr>
              <w:keepNext/>
              <w:keepLines/>
              <w:spacing w:after="0" w:line="240" w:lineRule="auto"/>
              <w:outlineLvl w:val="0"/>
              <w:rPr>
                <w:rFonts w:ascii="Calibri" w:eastAsia="Calibri" w:hAnsi="Calibri" w:cs="Calibri"/>
                <w:sz w:val="16"/>
                <w:szCs w:val="16"/>
              </w:rPr>
            </w:pPr>
            <w:r w:rsidRPr="00786237">
              <w:rPr>
                <w:rFonts w:ascii="Calibri" w:eastAsia="Calibri" w:hAnsi="Calibri" w:cs="Calibri"/>
                <w:sz w:val="16"/>
                <w:szCs w:val="16"/>
              </w:rPr>
              <w:t>the appropriate clinical/imaging context. This often a</w:t>
            </w:r>
            <w:r w:rsidR="0060665D">
              <w:rPr>
                <w:rFonts w:ascii="Calibri" w:eastAsia="Calibri" w:hAnsi="Calibri" w:cs="Calibri"/>
                <w:sz w:val="16"/>
                <w:szCs w:val="16"/>
              </w:rPr>
              <w:t xml:space="preserve">chieved through discussion at a </w:t>
            </w:r>
            <w:r w:rsidRPr="00786237">
              <w:rPr>
                <w:rFonts w:ascii="Calibri" w:eastAsia="Calibri" w:hAnsi="Calibri" w:cs="Calibri"/>
                <w:sz w:val="16"/>
                <w:szCs w:val="16"/>
              </w:rPr>
              <w:t>multidisciplinary tumour board meeting.</w:t>
            </w:r>
          </w:p>
        </w:tc>
        <w:tc>
          <w:tcPr>
            <w:tcW w:w="1701" w:type="dxa"/>
            <w:tcBorders>
              <w:top w:val="nil"/>
              <w:left w:val="nil"/>
              <w:bottom w:val="single" w:sz="4" w:space="0" w:color="auto"/>
              <w:right w:val="single" w:sz="4" w:space="0" w:color="auto"/>
            </w:tcBorders>
            <w:shd w:val="clear" w:color="auto" w:fill="auto"/>
          </w:tcPr>
          <w:p w14:paraId="0E57D946" w14:textId="77777777" w:rsidR="00594B08" w:rsidRPr="006D1DD6" w:rsidRDefault="00594B08" w:rsidP="006D1DD6">
            <w:pPr>
              <w:rPr>
                <w:color w:val="000000"/>
                <w:sz w:val="16"/>
                <w:szCs w:val="16"/>
              </w:rPr>
            </w:pPr>
          </w:p>
        </w:tc>
      </w:tr>
      <w:tr w:rsidR="00594B08" w14:paraId="0E57D981" w14:textId="77777777" w:rsidTr="00BD7708">
        <w:trPr>
          <w:trHeight w:val="373"/>
        </w:trPr>
        <w:tc>
          <w:tcPr>
            <w:tcW w:w="866" w:type="dxa"/>
            <w:tcBorders>
              <w:top w:val="nil"/>
              <w:left w:val="single" w:sz="4" w:space="0" w:color="auto"/>
              <w:bottom w:val="single" w:sz="4" w:space="0" w:color="auto"/>
              <w:right w:val="single" w:sz="4" w:space="0" w:color="auto"/>
            </w:tcBorders>
            <w:shd w:val="clear" w:color="000000" w:fill="EEECE1"/>
          </w:tcPr>
          <w:p w14:paraId="0E57D948" w14:textId="77777777" w:rsidR="00C348C3" w:rsidRPr="00CC5E7C" w:rsidRDefault="008C57F7" w:rsidP="008C57F7">
            <w:pPr>
              <w:spacing w:after="0"/>
              <w:rPr>
                <w:rFonts w:ascii="Calibri" w:hAnsi="Calibri"/>
                <w:color w:val="000000"/>
                <w:sz w:val="16"/>
                <w:szCs w:val="16"/>
              </w:rPr>
            </w:pPr>
            <w:r>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0E57D949" w14:textId="77777777" w:rsidR="00283652" w:rsidRPr="00EB7C81" w:rsidRDefault="00EB7C81" w:rsidP="00EB7C81">
            <w:pPr>
              <w:spacing w:after="0"/>
              <w:rPr>
                <w:rFonts w:ascii="Calibri" w:hAnsi="Calibri"/>
                <w:bCs/>
                <w:color w:val="000000"/>
                <w:sz w:val="16"/>
                <w:szCs w:val="16"/>
              </w:rPr>
            </w:pPr>
            <w:r w:rsidRPr="00EB7C81">
              <w:rPr>
                <w:rFonts w:ascii="Calibri" w:hAnsi="Calibri"/>
                <w:bCs/>
                <w:color w:val="000000"/>
                <w:sz w:val="16"/>
                <w:szCs w:val="16"/>
              </w:rPr>
              <w:t>IMAGING FINDINGS</w:t>
            </w:r>
          </w:p>
        </w:tc>
        <w:tc>
          <w:tcPr>
            <w:tcW w:w="2835" w:type="dxa"/>
            <w:tcBorders>
              <w:top w:val="nil"/>
              <w:left w:val="nil"/>
              <w:bottom w:val="single" w:sz="4" w:space="0" w:color="auto"/>
              <w:right w:val="single" w:sz="4" w:space="0" w:color="auto"/>
            </w:tcBorders>
            <w:shd w:val="clear" w:color="auto" w:fill="auto"/>
          </w:tcPr>
          <w:p w14:paraId="0E57D94A" w14:textId="77777777" w:rsidR="00EB7C81" w:rsidRPr="00EB7C81" w:rsidRDefault="00EB7C81" w:rsidP="00EB7C81">
            <w:pPr>
              <w:spacing w:after="0" w:line="240" w:lineRule="auto"/>
              <w:rPr>
                <w:rFonts w:ascii="Calibri" w:hAnsi="Calibri"/>
                <w:color w:val="000000"/>
                <w:sz w:val="16"/>
                <w:szCs w:val="16"/>
              </w:rPr>
            </w:pPr>
            <w:r w:rsidRPr="00EB7C81">
              <w:rPr>
                <w:rFonts w:ascii="Calibri" w:hAnsi="Calibri"/>
                <w:b/>
                <w:bCs/>
                <w:color w:val="000000"/>
                <w:sz w:val="16"/>
                <w:szCs w:val="16"/>
              </w:rPr>
              <w:t>Anatomical site</w:t>
            </w:r>
          </w:p>
          <w:p w14:paraId="0E57D94B" w14:textId="77777777" w:rsidR="00BD7708" w:rsidRDefault="00EB7C81" w:rsidP="00BD7708">
            <w:pPr>
              <w:pStyle w:val="ListParagraph"/>
              <w:numPr>
                <w:ilvl w:val="0"/>
                <w:numId w:val="4"/>
              </w:numPr>
              <w:spacing w:after="0" w:line="240" w:lineRule="auto"/>
              <w:ind w:left="176" w:hanging="142"/>
              <w:rPr>
                <w:rFonts w:ascii="Calibri" w:hAnsi="Calibri"/>
                <w:color w:val="000000"/>
                <w:sz w:val="16"/>
                <w:szCs w:val="16"/>
              </w:rPr>
            </w:pPr>
            <w:proofErr w:type="spellStart"/>
            <w:r>
              <w:rPr>
                <w:rFonts w:ascii="Calibri" w:hAnsi="Calibri"/>
                <w:color w:val="000000"/>
                <w:sz w:val="16"/>
                <w:szCs w:val="16"/>
              </w:rPr>
              <w:t>Bone,n</w:t>
            </w:r>
            <w:r w:rsidR="008C57F7" w:rsidRPr="008C57F7">
              <w:rPr>
                <w:rFonts w:ascii="Calibri" w:hAnsi="Calibri"/>
                <w:color w:val="000000"/>
                <w:sz w:val="16"/>
                <w:szCs w:val="16"/>
              </w:rPr>
              <w:t>ot</w:t>
            </w:r>
            <w:proofErr w:type="spellEnd"/>
            <w:r w:rsidR="008C57F7" w:rsidRPr="008C57F7">
              <w:rPr>
                <w:rFonts w:ascii="Calibri" w:hAnsi="Calibri"/>
                <w:color w:val="000000"/>
                <w:sz w:val="16"/>
                <w:szCs w:val="16"/>
              </w:rPr>
              <w:t xml:space="preserve"> specified</w:t>
            </w:r>
          </w:p>
          <w:p w14:paraId="0E57D94C" w14:textId="77777777" w:rsidR="00EB7C81" w:rsidRDefault="00EB7C81" w:rsidP="00EB7C81">
            <w:pPr>
              <w:pStyle w:val="ListParagraph"/>
              <w:numPr>
                <w:ilvl w:val="0"/>
                <w:numId w:val="4"/>
              </w:numPr>
              <w:spacing w:after="0" w:line="240" w:lineRule="auto"/>
              <w:ind w:left="176" w:hanging="142"/>
              <w:rPr>
                <w:rFonts w:ascii="Calibri" w:hAnsi="Calibri"/>
                <w:color w:val="000000"/>
                <w:sz w:val="16"/>
                <w:szCs w:val="16"/>
              </w:rPr>
            </w:pPr>
            <w:r>
              <w:rPr>
                <w:rFonts w:ascii="Calibri" w:hAnsi="Calibri"/>
                <w:color w:val="000000"/>
                <w:sz w:val="16"/>
                <w:szCs w:val="16"/>
              </w:rPr>
              <w:t xml:space="preserve">Bone, </w:t>
            </w:r>
            <w:r w:rsidRPr="00EB7C81">
              <w:rPr>
                <w:rFonts w:ascii="Calibri" w:hAnsi="Calibri"/>
                <w:i/>
                <w:color w:val="000000"/>
                <w:sz w:val="16"/>
                <w:szCs w:val="16"/>
              </w:rPr>
              <w:t>specify</w:t>
            </w:r>
            <w:r>
              <w:rPr>
                <w:rFonts w:ascii="Calibri" w:hAnsi="Calibri"/>
                <w:color w:val="000000"/>
                <w:sz w:val="16"/>
                <w:szCs w:val="16"/>
              </w:rPr>
              <w:t xml:space="preserve"> </w:t>
            </w:r>
          </w:p>
          <w:p w14:paraId="0E57D94D" w14:textId="77777777" w:rsidR="00EB7C81" w:rsidRDefault="00EB7C81" w:rsidP="00EB7C81">
            <w:pPr>
              <w:spacing w:after="0" w:line="240" w:lineRule="auto"/>
              <w:rPr>
                <w:rFonts w:ascii="Calibri" w:hAnsi="Calibri"/>
                <w:color w:val="000000"/>
                <w:sz w:val="16"/>
                <w:szCs w:val="16"/>
              </w:rPr>
            </w:pPr>
          </w:p>
          <w:p w14:paraId="0E57D94E" w14:textId="77777777" w:rsidR="00B67C93" w:rsidRDefault="00B67C93" w:rsidP="00EB7C81">
            <w:pPr>
              <w:spacing w:after="0" w:line="240" w:lineRule="auto"/>
              <w:rPr>
                <w:rFonts w:ascii="Calibri" w:hAnsi="Calibri"/>
                <w:b/>
                <w:bCs/>
                <w:color w:val="000000"/>
                <w:sz w:val="16"/>
                <w:szCs w:val="16"/>
              </w:rPr>
            </w:pPr>
          </w:p>
          <w:p w14:paraId="0E57D94F" w14:textId="77777777" w:rsidR="00B67C93" w:rsidRDefault="00B67C93" w:rsidP="00EB7C81">
            <w:pPr>
              <w:spacing w:after="0" w:line="240" w:lineRule="auto"/>
              <w:rPr>
                <w:rFonts w:ascii="Calibri" w:hAnsi="Calibri"/>
                <w:b/>
                <w:bCs/>
                <w:color w:val="000000"/>
                <w:sz w:val="16"/>
                <w:szCs w:val="16"/>
              </w:rPr>
            </w:pPr>
          </w:p>
          <w:p w14:paraId="0E57D950" w14:textId="77777777" w:rsidR="00B67C93" w:rsidRDefault="00B67C93" w:rsidP="00EB7C81">
            <w:pPr>
              <w:spacing w:after="0" w:line="240" w:lineRule="auto"/>
              <w:rPr>
                <w:rFonts w:ascii="Calibri" w:hAnsi="Calibri"/>
                <w:b/>
                <w:bCs/>
                <w:color w:val="000000"/>
                <w:sz w:val="16"/>
                <w:szCs w:val="16"/>
              </w:rPr>
            </w:pPr>
          </w:p>
          <w:p w14:paraId="0E57D951" w14:textId="77777777" w:rsidR="00B67C93" w:rsidRDefault="00B67C93" w:rsidP="00EB7C81">
            <w:pPr>
              <w:spacing w:after="0" w:line="240" w:lineRule="auto"/>
              <w:rPr>
                <w:rFonts w:ascii="Calibri" w:hAnsi="Calibri"/>
                <w:b/>
                <w:bCs/>
                <w:color w:val="000000"/>
                <w:sz w:val="16"/>
                <w:szCs w:val="16"/>
              </w:rPr>
            </w:pPr>
          </w:p>
          <w:p w14:paraId="0E57D952" w14:textId="77777777" w:rsidR="00B67C93" w:rsidRDefault="00B67C93" w:rsidP="00EB7C81">
            <w:pPr>
              <w:spacing w:after="0" w:line="240" w:lineRule="auto"/>
              <w:rPr>
                <w:rFonts w:ascii="Calibri" w:hAnsi="Calibri"/>
                <w:b/>
                <w:bCs/>
                <w:color w:val="000000"/>
                <w:sz w:val="16"/>
                <w:szCs w:val="16"/>
              </w:rPr>
            </w:pPr>
          </w:p>
          <w:p w14:paraId="0E57D953" w14:textId="77777777" w:rsidR="00B67C93" w:rsidRDefault="00B67C93" w:rsidP="00EB7C81">
            <w:pPr>
              <w:spacing w:after="0" w:line="240" w:lineRule="auto"/>
              <w:rPr>
                <w:rFonts w:ascii="Calibri" w:hAnsi="Calibri"/>
                <w:b/>
                <w:bCs/>
                <w:color w:val="000000"/>
                <w:sz w:val="16"/>
                <w:szCs w:val="16"/>
              </w:rPr>
            </w:pPr>
          </w:p>
          <w:p w14:paraId="0E57D954" w14:textId="77777777" w:rsidR="00B67C93" w:rsidRDefault="00B67C93" w:rsidP="00EB7C81">
            <w:pPr>
              <w:spacing w:after="0" w:line="240" w:lineRule="auto"/>
              <w:rPr>
                <w:rFonts w:ascii="Calibri" w:hAnsi="Calibri"/>
                <w:b/>
                <w:bCs/>
                <w:color w:val="000000"/>
                <w:sz w:val="16"/>
                <w:szCs w:val="16"/>
              </w:rPr>
            </w:pPr>
          </w:p>
          <w:p w14:paraId="0E57D955" w14:textId="77777777" w:rsidR="00EB7C81" w:rsidRDefault="00EB7C81" w:rsidP="00EB7C81">
            <w:pPr>
              <w:spacing w:after="0" w:line="240" w:lineRule="auto"/>
              <w:rPr>
                <w:rFonts w:ascii="Calibri" w:hAnsi="Calibri"/>
                <w:b/>
                <w:bCs/>
                <w:color w:val="000000"/>
                <w:sz w:val="16"/>
                <w:szCs w:val="16"/>
              </w:rPr>
            </w:pPr>
            <w:r w:rsidRPr="00EB7C81">
              <w:rPr>
                <w:rFonts w:ascii="Calibri" w:hAnsi="Calibri"/>
                <w:b/>
                <w:bCs/>
                <w:color w:val="000000"/>
                <w:sz w:val="16"/>
                <w:szCs w:val="16"/>
              </w:rPr>
              <w:lastRenderedPageBreak/>
              <w:t>Radiologic tumour dimensions</w:t>
            </w:r>
          </w:p>
          <w:p w14:paraId="0E57D956" w14:textId="77777777" w:rsidR="00EB7C81" w:rsidRDefault="00EB7C81" w:rsidP="00EB7C81">
            <w:pPr>
              <w:pStyle w:val="ListParagraph"/>
              <w:numPr>
                <w:ilvl w:val="0"/>
                <w:numId w:val="4"/>
              </w:numPr>
              <w:spacing w:after="0" w:line="240" w:lineRule="auto"/>
              <w:ind w:left="176" w:hanging="142"/>
              <w:rPr>
                <w:rFonts w:ascii="Calibri" w:hAnsi="Calibri"/>
                <w:color w:val="000000"/>
                <w:sz w:val="16"/>
                <w:szCs w:val="16"/>
              </w:rPr>
            </w:pPr>
            <w:r w:rsidRPr="00EB7C81">
              <w:rPr>
                <w:rFonts w:ascii="Calibri" w:hAnsi="Calibri"/>
                <w:color w:val="000000"/>
                <w:sz w:val="16"/>
                <w:szCs w:val="16"/>
              </w:rPr>
              <w:t>Not provided</w:t>
            </w:r>
          </w:p>
          <w:p w14:paraId="0E57D957" w14:textId="77777777" w:rsidR="00EB7C81" w:rsidRDefault="00EB7C81" w:rsidP="00AC0018">
            <w:pPr>
              <w:spacing w:after="80" w:line="240" w:lineRule="auto"/>
              <w:rPr>
                <w:rFonts w:ascii="Calibri" w:hAnsi="Calibri"/>
                <w:color w:val="000000"/>
                <w:sz w:val="16"/>
                <w:szCs w:val="16"/>
              </w:rPr>
            </w:pPr>
            <w:r w:rsidRPr="00EB7C81">
              <w:rPr>
                <w:rFonts w:ascii="Calibri" w:hAnsi="Calibri"/>
                <w:color w:val="000000"/>
                <w:sz w:val="16"/>
                <w:szCs w:val="16"/>
              </w:rPr>
              <w:t>Maximum tumour dimension</w:t>
            </w:r>
            <w:r>
              <w:rPr>
                <w:rFonts w:ascii="Calibri" w:hAnsi="Calibri"/>
                <w:color w:val="000000"/>
                <w:sz w:val="16"/>
                <w:szCs w:val="16"/>
              </w:rPr>
              <w:t xml:space="preserve">  </w:t>
            </w:r>
            <w:r w:rsidRPr="00EB7C81">
              <w:rPr>
                <w:rFonts w:ascii="Calibri" w:hAnsi="Calibri"/>
                <w:color w:val="000000"/>
                <w:sz w:val="16"/>
                <w:szCs w:val="16"/>
              </w:rPr>
              <w:t>___ mm</w:t>
            </w:r>
          </w:p>
          <w:p w14:paraId="0E57D958" w14:textId="77777777" w:rsidR="00EB7C81" w:rsidRDefault="00EB7C81" w:rsidP="00EB7C81">
            <w:pPr>
              <w:spacing w:after="0" w:line="240" w:lineRule="auto"/>
              <w:rPr>
                <w:rFonts w:ascii="Calibri" w:hAnsi="Calibri"/>
                <w:color w:val="000000"/>
                <w:sz w:val="16"/>
                <w:szCs w:val="16"/>
              </w:rPr>
            </w:pPr>
            <w:r w:rsidRPr="00EB7C81">
              <w:rPr>
                <w:rFonts w:ascii="Calibri" w:hAnsi="Calibri"/>
                <w:color w:val="000000"/>
                <w:sz w:val="16"/>
                <w:szCs w:val="16"/>
              </w:rPr>
              <w:t>Additional dimensions</w:t>
            </w:r>
          </w:p>
          <w:p w14:paraId="0E57D959" w14:textId="77777777" w:rsidR="00EB7C81" w:rsidRDefault="00EB7C81" w:rsidP="00AC0018">
            <w:pPr>
              <w:spacing w:after="80" w:line="240" w:lineRule="auto"/>
              <w:rPr>
                <w:rFonts w:ascii="Calibri" w:hAnsi="Calibri"/>
                <w:color w:val="000000"/>
                <w:sz w:val="16"/>
                <w:szCs w:val="16"/>
              </w:rPr>
            </w:pPr>
            <w:r>
              <w:rPr>
                <w:rFonts w:ascii="Calibri" w:hAnsi="Calibri"/>
                <w:color w:val="000000"/>
                <w:sz w:val="16"/>
                <w:szCs w:val="16"/>
              </w:rPr>
              <w:t xml:space="preserve"> </w:t>
            </w:r>
            <w:r w:rsidRPr="00EB7C81">
              <w:rPr>
                <w:rFonts w:ascii="Calibri" w:hAnsi="Calibri"/>
                <w:color w:val="000000"/>
                <w:sz w:val="16"/>
                <w:szCs w:val="16"/>
              </w:rPr>
              <w:t xml:space="preserve">___ mm </w:t>
            </w:r>
            <w:r>
              <w:rPr>
                <w:rFonts w:ascii="Calibri" w:hAnsi="Calibri"/>
                <w:color w:val="000000"/>
                <w:sz w:val="16"/>
                <w:szCs w:val="16"/>
              </w:rPr>
              <w:t xml:space="preserve"> </w:t>
            </w:r>
            <w:r w:rsidRPr="00EB7C81">
              <w:rPr>
                <w:rFonts w:ascii="Calibri" w:hAnsi="Calibri"/>
                <w:color w:val="000000"/>
                <w:sz w:val="16"/>
                <w:szCs w:val="16"/>
              </w:rPr>
              <w:t>x ___ mm</w:t>
            </w:r>
          </w:p>
          <w:p w14:paraId="0E57D95A" w14:textId="77777777" w:rsidR="00EB7C81" w:rsidRPr="00FE09D5" w:rsidRDefault="00EB7C81" w:rsidP="00AC0018">
            <w:pPr>
              <w:pStyle w:val="ListParagraph"/>
              <w:numPr>
                <w:ilvl w:val="0"/>
                <w:numId w:val="4"/>
              </w:numPr>
              <w:spacing w:after="80" w:line="240" w:lineRule="auto"/>
              <w:ind w:left="176" w:hanging="142"/>
              <w:rPr>
                <w:rFonts w:ascii="Calibri" w:hAnsi="Calibri"/>
                <w:color w:val="000000"/>
                <w:sz w:val="16"/>
                <w:szCs w:val="16"/>
              </w:rPr>
            </w:pPr>
            <w:r w:rsidRPr="00EB7C81">
              <w:rPr>
                <w:rFonts w:ascii="Calibri" w:hAnsi="Calibri"/>
                <w:color w:val="000000"/>
                <w:sz w:val="16"/>
                <w:szCs w:val="16"/>
              </w:rPr>
              <w:t>Cannot be assessed (e.g., multifocal</w:t>
            </w:r>
            <w:r w:rsidR="00AC0018">
              <w:rPr>
                <w:rFonts w:ascii="Calibri" w:hAnsi="Calibri"/>
                <w:color w:val="000000"/>
                <w:sz w:val="16"/>
                <w:szCs w:val="16"/>
              </w:rPr>
              <w:t xml:space="preserve"> </w:t>
            </w:r>
            <w:r w:rsidRPr="00EB7C81">
              <w:rPr>
                <w:rFonts w:ascii="Calibri" w:hAnsi="Calibri"/>
                <w:color w:val="000000"/>
                <w:sz w:val="16"/>
                <w:szCs w:val="16"/>
              </w:rPr>
              <w:t xml:space="preserve">/discontinuous tumour), </w:t>
            </w:r>
            <w:r w:rsidRPr="00EB7C81">
              <w:rPr>
                <w:rFonts w:ascii="Calibri" w:hAnsi="Calibri"/>
                <w:i/>
                <w:color w:val="000000"/>
                <w:sz w:val="16"/>
                <w:szCs w:val="16"/>
              </w:rPr>
              <w:t>specify</w:t>
            </w:r>
          </w:p>
          <w:p w14:paraId="0E57D95B" w14:textId="77777777" w:rsidR="00FE09D5" w:rsidRDefault="00FE09D5" w:rsidP="00FE09D5">
            <w:pPr>
              <w:spacing w:after="0" w:line="240" w:lineRule="auto"/>
              <w:rPr>
                <w:rFonts w:ascii="Calibri" w:hAnsi="Calibri"/>
                <w:b/>
                <w:bCs/>
                <w:color w:val="000000"/>
                <w:sz w:val="16"/>
                <w:szCs w:val="16"/>
              </w:rPr>
            </w:pPr>
            <w:r w:rsidRPr="00FE09D5">
              <w:rPr>
                <w:rFonts w:ascii="Calibri" w:hAnsi="Calibri"/>
                <w:b/>
                <w:bCs/>
                <w:color w:val="000000"/>
                <w:sz w:val="16"/>
                <w:szCs w:val="16"/>
              </w:rPr>
              <w:t>Tumour site</w:t>
            </w:r>
          </w:p>
          <w:p w14:paraId="0E57D95C" w14:textId="77777777" w:rsidR="00FE09D5" w:rsidRPr="00214993" w:rsidRDefault="00FE09D5" w:rsidP="003D276B">
            <w:pPr>
              <w:pStyle w:val="ListParagraph"/>
              <w:numPr>
                <w:ilvl w:val="0"/>
                <w:numId w:val="8"/>
              </w:numPr>
              <w:spacing w:after="0" w:line="240" w:lineRule="auto"/>
              <w:ind w:left="176" w:hanging="142"/>
              <w:rPr>
                <w:rFonts w:ascii="Calibri" w:hAnsi="Calibri"/>
                <w:bCs/>
                <w:sz w:val="16"/>
                <w:szCs w:val="16"/>
              </w:rPr>
            </w:pPr>
            <w:r w:rsidRPr="00214993">
              <w:rPr>
                <w:rFonts w:ascii="Calibri" w:hAnsi="Calibri"/>
                <w:bCs/>
                <w:sz w:val="16"/>
                <w:szCs w:val="16"/>
              </w:rPr>
              <w:t>Epiphysis or apophysis</w:t>
            </w:r>
          </w:p>
          <w:p w14:paraId="0E57D95D" w14:textId="77777777" w:rsidR="00FE09D5" w:rsidRPr="00214993" w:rsidRDefault="00FE09D5" w:rsidP="003D276B">
            <w:pPr>
              <w:pStyle w:val="ListParagraph"/>
              <w:numPr>
                <w:ilvl w:val="0"/>
                <w:numId w:val="8"/>
              </w:numPr>
              <w:spacing w:after="0" w:line="240" w:lineRule="auto"/>
              <w:ind w:left="176" w:hanging="142"/>
              <w:rPr>
                <w:rFonts w:ascii="Calibri" w:hAnsi="Calibri"/>
                <w:bCs/>
                <w:sz w:val="16"/>
                <w:szCs w:val="16"/>
              </w:rPr>
            </w:pPr>
            <w:r w:rsidRPr="00214993">
              <w:rPr>
                <w:rFonts w:ascii="Calibri" w:hAnsi="Calibri"/>
                <w:bCs/>
                <w:sz w:val="16"/>
                <w:szCs w:val="16"/>
              </w:rPr>
              <w:t>Metaphysis</w:t>
            </w:r>
          </w:p>
          <w:p w14:paraId="0E57D95E" w14:textId="77777777" w:rsidR="00FE09D5" w:rsidRPr="00214993" w:rsidRDefault="00FE09D5" w:rsidP="003D276B">
            <w:pPr>
              <w:pStyle w:val="ListParagraph"/>
              <w:numPr>
                <w:ilvl w:val="0"/>
                <w:numId w:val="8"/>
              </w:numPr>
              <w:spacing w:after="0" w:line="240" w:lineRule="auto"/>
              <w:ind w:left="176" w:hanging="142"/>
              <w:rPr>
                <w:rFonts w:ascii="Calibri" w:hAnsi="Calibri"/>
                <w:bCs/>
                <w:sz w:val="16"/>
                <w:szCs w:val="16"/>
              </w:rPr>
            </w:pPr>
            <w:r w:rsidRPr="00214993">
              <w:rPr>
                <w:rFonts w:ascii="Calibri" w:hAnsi="Calibri"/>
                <w:bCs/>
                <w:sz w:val="16"/>
                <w:szCs w:val="16"/>
              </w:rPr>
              <w:t>Diaphysis</w:t>
            </w:r>
          </w:p>
          <w:p w14:paraId="0E57D95F" w14:textId="77777777" w:rsidR="00FE09D5" w:rsidRPr="00214993" w:rsidRDefault="00FE09D5" w:rsidP="003D276B">
            <w:pPr>
              <w:pStyle w:val="ListParagraph"/>
              <w:numPr>
                <w:ilvl w:val="0"/>
                <w:numId w:val="8"/>
              </w:numPr>
              <w:spacing w:after="0" w:line="240" w:lineRule="auto"/>
              <w:ind w:left="176" w:hanging="142"/>
              <w:rPr>
                <w:rFonts w:ascii="Calibri" w:hAnsi="Calibri"/>
                <w:bCs/>
                <w:sz w:val="16"/>
                <w:szCs w:val="16"/>
              </w:rPr>
            </w:pPr>
            <w:r w:rsidRPr="00214993">
              <w:rPr>
                <w:rFonts w:ascii="Calibri" w:hAnsi="Calibri"/>
                <w:bCs/>
                <w:sz w:val="16"/>
                <w:szCs w:val="16"/>
              </w:rPr>
              <w:t xml:space="preserve">Other, </w:t>
            </w:r>
            <w:r w:rsidRPr="00214993">
              <w:rPr>
                <w:rFonts w:ascii="Calibri" w:hAnsi="Calibri"/>
                <w:bCs/>
                <w:i/>
                <w:sz w:val="16"/>
                <w:szCs w:val="16"/>
              </w:rPr>
              <w:t>specify</w:t>
            </w:r>
          </w:p>
          <w:p w14:paraId="0E57D960" w14:textId="77777777" w:rsidR="00FE09D5" w:rsidRPr="00214993" w:rsidRDefault="00FE09D5" w:rsidP="003D276B">
            <w:pPr>
              <w:pStyle w:val="ListParagraph"/>
              <w:numPr>
                <w:ilvl w:val="0"/>
                <w:numId w:val="8"/>
              </w:numPr>
              <w:spacing w:after="0" w:line="240" w:lineRule="auto"/>
              <w:ind w:left="176" w:hanging="142"/>
              <w:rPr>
                <w:rFonts w:ascii="Calibri" w:hAnsi="Calibri"/>
                <w:bCs/>
                <w:sz w:val="16"/>
                <w:szCs w:val="16"/>
              </w:rPr>
            </w:pPr>
            <w:r w:rsidRPr="00214993">
              <w:rPr>
                <w:rFonts w:ascii="Calibri" w:hAnsi="Calibri"/>
                <w:bCs/>
                <w:sz w:val="16"/>
                <w:szCs w:val="16"/>
              </w:rPr>
              <w:t>Not known</w:t>
            </w:r>
          </w:p>
          <w:p w14:paraId="0E57D961" w14:textId="77777777" w:rsidR="00FE09D5" w:rsidRPr="00FE09D5" w:rsidRDefault="00FE09D5" w:rsidP="00FE09D5">
            <w:pPr>
              <w:pStyle w:val="ListParagraph"/>
              <w:spacing w:after="0" w:line="240" w:lineRule="auto"/>
              <w:ind w:left="176"/>
              <w:rPr>
                <w:rFonts w:ascii="Calibri" w:hAnsi="Calibri"/>
                <w:bCs/>
                <w:color w:val="000000"/>
                <w:sz w:val="6"/>
                <w:szCs w:val="6"/>
              </w:rPr>
            </w:pPr>
          </w:p>
          <w:p w14:paraId="0E57D962" w14:textId="77777777" w:rsidR="00FE09D5" w:rsidRDefault="00FE09D5" w:rsidP="00FE09D5">
            <w:pPr>
              <w:spacing w:after="0" w:line="240" w:lineRule="auto"/>
              <w:ind w:left="176"/>
              <w:rPr>
                <w:rFonts w:ascii="Calibri" w:hAnsi="Calibri"/>
                <w:bCs/>
                <w:color w:val="000000"/>
                <w:sz w:val="16"/>
                <w:szCs w:val="16"/>
              </w:rPr>
            </w:pPr>
            <w:r w:rsidRPr="00FE09D5">
              <w:rPr>
                <w:rFonts w:ascii="Calibri" w:hAnsi="Calibri"/>
                <w:bCs/>
                <w:color w:val="000000"/>
                <w:sz w:val="16"/>
                <w:szCs w:val="16"/>
              </w:rPr>
              <w:t>AND</w:t>
            </w:r>
          </w:p>
          <w:p w14:paraId="0E57D963" w14:textId="77777777" w:rsidR="00FE09D5" w:rsidRPr="00214993" w:rsidRDefault="00FE09D5" w:rsidP="003D276B">
            <w:pPr>
              <w:pStyle w:val="ListParagraph"/>
              <w:numPr>
                <w:ilvl w:val="0"/>
                <w:numId w:val="8"/>
              </w:numPr>
              <w:spacing w:after="0" w:line="240" w:lineRule="auto"/>
              <w:ind w:left="176" w:hanging="142"/>
              <w:rPr>
                <w:rFonts w:ascii="Calibri" w:hAnsi="Calibri"/>
                <w:bCs/>
                <w:sz w:val="16"/>
                <w:szCs w:val="16"/>
              </w:rPr>
            </w:pPr>
            <w:r w:rsidRPr="00214993">
              <w:rPr>
                <w:rFonts w:ascii="Calibri" w:hAnsi="Calibri"/>
                <w:bCs/>
                <w:sz w:val="16"/>
                <w:szCs w:val="16"/>
              </w:rPr>
              <w:t>Cortex</w:t>
            </w:r>
          </w:p>
          <w:p w14:paraId="0E57D964" w14:textId="77777777" w:rsidR="00FE09D5" w:rsidRPr="00214993" w:rsidRDefault="00FE09D5" w:rsidP="003D276B">
            <w:pPr>
              <w:pStyle w:val="ListParagraph"/>
              <w:numPr>
                <w:ilvl w:val="0"/>
                <w:numId w:val="8"/>
              </w:numPr>
              <w:spacing w:after="0" w:line="240" w:lineRule="auto"/>
              <w:ind w:left="176" w:hanging="142"/>
              <w:rPr>
                <w:rFonts w:ascii="Calibri" w:hAnsi="Calibri"/>
                <w:bCs/>
                <w:sz w:val="16"/>
                <w:szCs w:val="16"/>
              </w:rPr>
            </w:pPr>
            <w:r w:rsidRPr="00214993">
              <w:rPr>
                <w:rFonts w:ascii="Calibri" w:hAnsi="Calibri"/>
                <w:bCs/>
                <w:sz w:val="16"/>
                <w:szCs w:val="16"/>
              </w:rPr>
              <w:t>Medullary cavity</w:t>
            </w:r>
          </w:p>
          <w:p w14:paraId="0E57D965" w14:textId="77777777" w:rsidR="00FE09D5" w:rsidRPr="00214993" w:rsidRDefault="00FE09D5" w:rsidP="003D276B">
            <w:pPr>
              <w:pStyle w:val="ListParagraph"/>
              <w:numPr>
                <w:ilvl w:val="0"/>
                <w:numId w:val="8"/>
              </w:numPr>
              <w:spacing w:after="0" w:line="240" w:lineRule="auto"/>
              <w:ind w:left="176" w:hanging="142"/>
              <w:rPr>
                <w:rFonts w:ascii="Calibri" w:hAnsi="Calibri"/>
                <w:bCs/>
                <w:sz w:val="16"/>
                <w:szCs w:val="16"/>
              </w:rPr>
            </w:pPr>
            <w:r w:rsidRPr="00214993">
              <w:rPr>
                <w:rFonts w:ascii="Calibri" w:hAnsi="Calibri"/>
                <w:bCs/>
                <w:sz w:val="16"/>
                <w:szCs w:val="16"/>
              </w:rPr>
              <w:t xml:space="preserve">Surface </w:t>
            </w:r>
          </w:p>
          <w:p w14:paraId="0E57D966" w14:textId="77777777" w:rsidR="00FE09D5" w:rsidRPr="00214993" w:rsidRDefault="00FE09D5" w:rsidP="003D276B">
            <w:pPr>
              <w:pStyle w:val="ListParagraph"/>
              <w:numPr>
                <w:ilvl w:val="0"/>
                <w:numId w:val="8"/>
              </w:numPr>
              <w:spacing w:after="0" w:line="240" w:lineRule="auto"/>
              <w:ind w:left="176" w:hanging="142"/>
              <w:rPr>
                <w:rFonts w:ascii="Calibri" w:hAnsi="Calibri"/>
                <w:bCs/>
                <w:sz w:val="16"/>
                <w:szCs w:val="16"/>
              </w:rPr>
            </w:pPr>
            <w:r w:rsidRPr="00214993">
              <w:rPr>
                <w:rFonts w:ascii="Calibri" w:hAnsi="Calibri"/>
                <w:bCs/>
                <w:sz w:val="16"/>
                <w:szCs w:val="16"/>
              </w:rPr>
              <w:t>Not known</w:t>
            </w:r>
          </w:p>
          <w:p w14:paraId="0E57D967" w14:textId="77777777" w:rsidR="00FE09D5" w:rsidRPr="00FE09D5" w:rsidRDefault="00FE09D5" w:rsidP="00FE09D5">
            <w:pPr>
              <w:spacing w:after="0" w:line="240" w:lineRule="auto"/>
              <w:ind w:left="176"/>
              <w:rPr>
                <w:rFonts w:ascii="Calibri" w:hAnsi="Calibri"/>
                <w:bCs/>
                <w:color w:val="000000"/>
                <w:sz w:val="6"/>
                <w:szCs w:val="6"/>
              </w:rPr>
            </w:pPr>
          </w:p>
          <w:p w14:paraId="0E57D968" w14:textId="77777777" w:rsidR="00FE09D5" w:rsidRPr="00FE09D5" w:rsidRDefault="00FE09D5" w:rsidP="00FE09D5">
            <w:pPr>
              <w:spacing w:after="0" w:line="240" w:lineRule="auto"/>
              <w:rPr>
                <w:rFonts w:ascii="Calibri" w:hAnsi="Calibri"/>
                <w:bCs/>
                <w:color w:val="000000"/>
                <w:sz w:val="16"/>
                <w:szCs w:val="16"/>
              </w:rPr>
            </w:pPr>
            <w:r>
              <w:rPr>
                <w:rFonts w:ascii="Calibri" w:hAnsi="Calibri"/>
                <w:bCs/>
                <w:color w:val="000000"/>
                <w:sz w:val="16"/>
                <w:szCs w:val="16"/>
              </w:rPr>
              <w:t xml:space="preserve">     AND</w:t>
            </w:r>
          </w:p>
          <w:p w14:paraId="0E57D969" w14:textId="77777777" w:rsidR="00FE09D5" w:rsidRPr="00214993" w:rsidRDefault="00FE09D5" w:rsidP="003D276B">
            <w:pPr>
              <w:pStyle w:val="ListParagraph"/>
              <w:numPr>
                <w:ilvl w:val="0"/>
                <w:numId w:val="8"/>
              </w:numPr>
              <w:spacing w:after="0" w:line="240" w:lineRule="auto"/>
              <w:ind w:left="176" w:hanging="142"/>
              <w:rPr>
                <w:rFonts w:ascii="Calibri" w:hAnsi="Calibri"/>
                <w:bCs/>
                <w:sz w:val="16"/>
                <w:szCs w:val="16"/>
              </w:rPr>
            </w:pPr>
            <w:r w:rsidRPr="00214993">
              <w:rPr>
                <w:rFonts w:ascii="Calibri" w:hAnsi="Calibri"/>
                <w:bCs/>
                <w:sz w:val="16"/>
                <w:szCs w:val="16"/>
              </w:rPr>
              <w:t>Tumour confined to bone</w:t>
            </w:r>
          </w:p>
          <w:p w14:paraId="0E57D96A" w14:textId="77777777" w:rsidR="00FE09D5" w:rsidRPr="00214993" w:rsidRDefault="00FE09D5" w:rsidP="003D276B">
            <w:pPr>
              <w:pStyle w:val="ListParagraph"/>
              <w:numPr>
                <w:ilvl w:val="0"/>
                <w:numId w:val="8"/>
              </w:numPr>
              <w:spacing w:after="0" w:line="240" w:lineRule="auto"/>
              <w:ind w:left="176" w:hanging="142"/>
              <w:rPr>
                <w:rFonts w:ascii="Calibri" w:hAnsi="Calibri"/>
                <w:bCs/>
                <w:sz w:val="16"/>
                <w:szCs w:val="16"/>
              </w:rPr>
            </w:pPr>
            <w:r w:rsidRPr="00214993">
              <w:rPr>
                <w:rFonts w:ascii="Calibri" w:hAnsi="Calibri"/>
                <w:bCs/>
                <w:sz w:val="16"/>
                <w:szCs w:val="16"/>
              </w:rPr>
              <w:t>Tumour involves joint</w:t>
            </w:r>
          </w:p>
          <w:p w14:paraId="0E57D96B" w14:textId="77777777" w:rsidR="00FE09D5" w:rsidRPr="00214993" w:rsidRDefault="00FE09D5" w:rsidP="003D276B">
            <w:pPr>
              <w:pStyle w:val="ListParagraph"/>
              <w:numPr>
                <w:ilvl w:val="0"/>
                <w:numId w:val="8"/>
              </w:numPr>
              <w:spacing w:after="0" w:line="240" w:lineRule="auto"/>
              <w:ind w:left="176" w:hanging="142"/>
              <w:rPr>
                <w:rFonts w:ascii="Calibri" w:hAnsi="Calibri"/>
                <w:bCs/>
                <w:sz w:val="16"/>
                <w:szCs w:val="16"/>
              </w:rPr>
            </w:pPr>
            <w:r w:rsidRPr="00214993">
              <w:rPr>
                <w:rFonts w:ascii="Calibri" w:hAnsi="Calibri"/>
                <w:bCs/>
                <w:sz w:val="16"/>
                <w:szCs w:val="16"/>
              </w:rPr>
              <w:t xml:space="preserve">Tumour extension into soft tissue </w:t>
            </w:r>
          </w:p>
          <w:p w14:paraId="0E57D96C" w14:textId="77777777" w:rsidR="00FE09D5" w:rsidRPr="00214993" w:rsidRDefault="00FE09D5" w:rsidP="00AC0018">
            <w:pPr>
              <w:pStyle w:val="ListParagraph"/>
              <w:numPr>
                <w:ilvl w:val="0"/>
                <w:numId w:val="8"/>
              </w:numPr>
              <w:spacing w:after="80" w:line="240" w:lineRule="auto"/>
              <w:ind w:left="176" w:hanging="142"/>
              <w:rPr>
                <w:rFonts w:ascii="Calibri" w:hAnsi="Calibri"/>
                <w:bCs/>
                <w:sz w:val="16"/>
                <w:szCs w:val="16"/>
              </w:rPr>
            </w:pPr>
            <w:r w:rsidRPr="00214993">
              <w:rPr>
                <w:rFonts w:ascii="Calibri" w:hAnsi="Calibri"/>
                <w:bCs/>
                <w:sz w:val="16"/>
                <w:szCs w:val="16"/>
              </w:rPr>
              <w:t>Not known</w:t>
            </w:r>
          </w:p>
          <w:p w14:paraId="0E57D96D" w14:textId="77777777" w:rsidR="00FE09D5" w:rsidRPr="00FE09D5" w:rsidRDefault="00FE09D5" w:rsidP="00FE09D5">
            <w:pPr>
              <w:spacing w:after="0" w:line="240" w:lineRule="auto"/>
              <w:rPr>
                <w:rFonts w:ascii="Calibri" w:hAnsi="Calibri"/>
                <w:color w:val="000000"/>
                <w:sz w:val="16"/>
                <w:szCs w:val="16"/>
              </w:rPr>
            </w:pPr>
            <w:r w:rsidRPr="00FE09D5">
              <w:rPr>
                <w:rFonts w:ascii="Calibri" w:hAnsi="Calibri"/>
                <w:b/>
                <w:bCs/>
                <w:color w:val="000000"/>
                <w:sz w:val="16"/>
                <w:szCs w:val="16"/>
              </w:rPr>
              <w:t xml:space="preserve">Tumour laterality </w:t>
            </w:r>
          </w:p>
          <w:p w14:paraId="0E57D96E" w14:textId="77777777" w:rsidR="00FE09D5" w:rsidRPr="00FE09D5" w:rsidRDefault="00FE09D5" w:rsidP="003D276B">
            <w:pPr>
              <w:pStyle w:val="ListParagraph"/>
              <w:numPr>
                <w:ilvl w:val="0"/>
                <w:numId w:val="5"/>
              </w:numPr>
              <w:spacing w:after="0" w:line="240" w:lineRule="auto"/>
              <w:ind w:left="176" w:hanging="142"/>
              <w:rPr>
                <w:rFonts w:ascii="Calibri" w:hAnsi="Calibri"/>
                <w:color w:val="000000"/>
                <w:sz w:val="16"/>
                <w:szCs w:val="16"/>
              </w:rPr>
            </w:pPr>
            <w:r w:rsidRPr="00FE09D5">
              <w:rPr>
                <w:rFonts w:ascii="Calibri" w:hAnsi="Calibri"/>
                <w:color w:val="000000"/>
                <w:sz w:val="16"/>
                <w:szCs w:val="16"/>
              </w:rPr>
              <w:t>Left</w:t>
            </w:r>
          </w:p>
          <w:p w14:paraId="0E57D96F" w14:textId="77777777" w:rsidR="00FE09D5" w:rsidRPr="00FE09D5" w:rsidRDefault="00FE09D5" w:rsidP="003D276B">
            <w:pPr>
              <w:pStyle w:val="ListParagraph"/>
              <w:numPr>
                <w:ilvl w:val="0"/>
                <w:numId w:val="5"/>
              </w:numPr>
              <w:spacing w:after="0" w:line="240" w:lineRule="auto"/>
              <w:ind w:left="176" w:hanging="142"/>
              <w:rPr>
                <w:rFonts w:ascii="Calibri" w:hAnsi="Calibri"/>
                <w:color w:val="000000"/>
                <w:sz w:val="16"/>
                <w:szCs w:val="16"/>
              </w:rPr>
            </w:pPr>
            <w:r w:rsidRPr="00FE09D5">
              <w:rPr>
                <w:rFonts w:ascii="Calibri" w:hAnsi="Calibri"/>
                <w:color w:val="000000"/>
                <w:sz w:val="16"/>
                <w:szCs w:val="16"/>
              </w:rPr>
              <w:t>Right</w:t>
            </w:r>
          </w:p>
          <w:p w14:paraId="0E57D970" w14:textId="77777777" w:rsidR="00FE09D5" w:rsidRPr="00FE09D5" w:rsidRDefault="00FE09D5" w:rsidP="00AC0018">
            <w:pPr>
              <w:pStyle w:val="ListParagraph"/>
              <w:numPr>
                <w:ilvl w:val="0"/>
                <w:numId w:val="5"/>
              </w:numPr>
              <w:spacing w:after="80" w:line="240" w:lineRule="auto"/>
              <w:ind w:left="176" w:hanging="142"/>
              <w:rPr>
                <w:rFonts w:ascii="Calibri" w:hAnsi="Calibri"/>
                <w:color w:val="000000"/>
                <w:sz w:val="16"/>
                <w:szCs w:val="16"/>
              </w:rPr>
            </w:pPr>
            <w:r w:rsidRPr="00FE09D5">
              <w:rPr>
                <w:rFonts w:ascii="Calibri" w:hAnsi="Calibri"/>
                <w:color w:val="000000"/>
                <w:sz w:val="16"/>
                <w:szCs w:val="16"/>
              </w:rPr>
              <w:t>Not specified/Not applicable</w:t>
            </w:r>
          </w:p>
          <w:p w14:paraId="0E57D971" w14:textId="77777777" w:rsidR="00FE09D5" w:rsidRPr="00FE09D5" w:rsidRDefault="00FE09D5" w:rsidP="00FE09D5">
            <w:pPr>
              <w:spacing w:after="0" w:line="240" w:lineRule="auto"/>
              <w:rPr>
                <w:rFonts w:ascii="Calibri" w:hAnsi="Calibri"/>
                <w:color w:val="000000"/>
                <w:sz w:val="16"/>
                <w:szCs w:val="16"/>
              </w:rPr>
            </w:pPr>
            <w:r w:rsidRPr="00FE09D5">
              <w:rPr>
                <w:rFonts w:ascii="Calibri" w:hAnsi="Calibri"/>
                <w:b/>
                <w:bCs/>
                <w:color w:val="000000"/>
                <w:sz w:val="16"/>
                <w:szCs w:val="16"/>
              </w:rPr>
              <w:t>Radiological differential diagnosis</w:t>
            </w:r>
          </w:p>
          <w:p w14:paraId="0E57D972" w14:textId="77777777" w:rsidR="00FE09D5" w:rsidRPr="00FE09D5" w:rsidRDefault="00FE09D5" w:rsidP="003D276B">
            <w:pPr>
              <w:pStyle w:val="ListParagraph"/>
              <w:numPr>
                <w:ilvl w:val="0"/>
                <w:numId w:val="5"/>
              </w:numPr>
              <w:spacing w:after="0" w:line="240" w:lineRule="auto"/>
              <w:ind w:left="176" w:hanging="142"/>
              <w:rPr>
                <w:rFonts w:ascii="Calibri" w:hAnsi="Calibri"/>
                <w:color w:val="000000"/>
                <w:sz w:val="16"/>
                <w:szCs w:val="16"/>
              </w:rPr>
            </w:pPr>
            <w:r w:rsidRPr="00FE09D5">
              <w:rPr>
                <w:rFonts w:ascii="Calibri" w:hAnsi="Calibri"/>
                <w:color w:val="000000"/>
                <w:sz w:val="16"/>
                <w:szCs w:val="16"/>
              </w:rPr>
              <w:t xml:space="preserve">Not provided </w:t>
            </w:r>
          </w:p>
          <w:p w14:paraId="0E57D973" w14:textId="77777777" w:rsidR="00FE09D5" w:rsidRPr="00FE09D5" w:rsidRDefault="00FE09D5" w:rsidP="003D276B">
            <w:pPr>
              <w:pStyle w:val="ListParagraph"/>
              <w:numPr>
                <w:ilvl w:val="0"/>
                <w:numId w:val="5"/>
              </w:numPr>
              <w:spacing w:after="0" w:line="240" w:lineRule="auto"/>
              <w:ind w:left="176" w:hanging="142"/>
              <w:rPr>
                <w:rFonts w:ascii="Calibri" w:hAnsi="Calibri"/>
                <w:color w:val="000000"/>
                <w:sz w:val="16"/>
                <w:szCs w:val="16"/>
              </w:rPr>
            </w:pPr>
            <w:r w:rsidRPr="00FE09D5">
              <w:rPr>
                <w:rFonts w:ascii="Calibri" w:hAnsi="Calibri"/>
                <w:color w:val="000000"/>
                <w:sz w:val="16"/>
                <w:szCs w:val="16"/>
              </w:rPr>
              <w:t xml:space="preserve">Provided, </w:t>
            </w:r>
            <w:r w:rsidRPr="00FE09D5">
              <w:rPr>
                <w:rFonts w:ascii="Calibri" w:hAnsi="Calibri"/>
                <w:i/>
                <w:color w:val="000000"/>
                <w:sz w:val="16"/>
                <w:szCs w:val="16"/>
              </w:rPr>
              <w:t>describe</w:t>
            </w:r>
          </w:p>
        </w:tc>
        <w:tc>
          <w:tcPr>
            <w:tcW w:w="8222" w:type="dxa"/>
            <w:tcBorders>
              <w:top w:val="nil"/>
              <w:left w:val="nil"/>
              <w:bottom w:val="single" w:sz="4" w:space="0" w:color="auto"/>
              <w:right w:val="single" w:sz="4" w:space="0" w:color="auto"/>
            </w:tcBorders>
            <w:shd w:val="clear" w:color="auto" w:fill="auto"/>
          </w:tcPr>
          <w:p w14:paraId="0E57D974" w14:textId="77777777" w:rsidR="00647E9B" w:rsidRPr="00647E9B" w:rsidRDefault="00647E9B" w:rsidP="00647E9B">
            <w:pPr>
              <w:spacing w:after="0" w:line="240" w:lineRule="auto"/>
              <w:rPr>
                <w:rFonts w:ascii="Calibri" w:eastAsia="Calibri" w:hAnsi="Calibri" w:cs="Times New Roman"/>
                <w:sz w:val="16"/>
                <w:szCs w:val="16"/>
              </w:rPr>
            </w:pPr>
            <w:r w:rsidRPr="00647E9B">
              <w:rPr>
                <w:rFonts w:ascii="Calibri" w:eastAsia="Calibri" w:hAnsi="Calibri" w:cs="Times New Roman"/>
                <w:sz w:val="16"/>
                <w:szCs w:val="16"/>
              </w:rPr>
              <w:lastRenderedPageBreak/>
              <w:t>Recording anatomical site of the tumour is important as certain bone tumours have a preference for specific bones and do not occur in others, and there is a strong association between site and outcome. The latter is especially true for cartilaginous tumours, and as a consequence in the World Health Organization (WHO) Classification of Tumours, Soft Tissue and Bone Tumours, 5</w:t>
            </w:r>
            <w:r w:rsidRPr="00647E9B">
              <w:rPr>
                <w:rFonts w:ascii="Calibri" w:eastAsia="Calibri" w:hAnsi="Calibri" w:cs="Times New Roman"/>
                <w:sz w:val="16"/>
                <w:szCs w:val="16"/>
                <w:vertAlign w:val="superscript"/>
              </w:rPr>
              <w:t>th</w:t>
            </w:r>
            <w:r w:rsidRPr="00647E9B">
              <w:rPr>
                <w:rFonts w:ascii="Calibri" w:eastAsia="Calibri" w:hAnsi="Calibri" w:cs="Times New Roman"/>
                <w:sz w:val="16"/>
                <w:szCs w:val="16"/>
              </w:rPr>
              <w:t xml:space="preserve"> edition, 2020,</w:t>
            </w:r>
            <w:r w:rsidRPr="00647E9B">
              <w:rPr>
                <w:rFonts w:ascii="Calibri" w:eastAsia="Calibri" w:hAnsi="Calibri" w:cs="Times New Roman"/>
                <w:sz w:val="16"/>
                <w:szCs w:val="16"/>
              </w:rPr>
              <w:fldChar w:fldCharType="begin"/>
            </w:r>
            <w:r w:rsidRPr="00647E9B">
              <w:rPr>
                <w:rFonts w:ascii="Calibri" w:eastAsia="Calibri" w:hAnsi="Calibri" w:cs="Times New Roman"/>
                <w:sz w:val="16"/>
                <w:szCs w:val="16"/>
              </w:rPr>
              <w:instrText xml:space="preserve"> ADDIN EN.CITE &lt;EndNote&gt;&lt;Cite&gt;&lt;Author&gt;IARC&lt;/Author&gt;&lt;Year&gt;2020&lt;/Year&gt;&lt;RecNum&gt;7&lt;/RecNum&gt;&lt;DisplayText&gt;&lt;style face="superscript"&gt;1&lt;/style&gt;&lt;/DisplayText&gt;&lt;record&gt;&lt;rec-number&gt;7&lt;/rec-number&gt;&lt;foreign-keys&gt;&lt;key app="EN" db-id="2xdxafpwyafr98e0wt7ps2xrzzfesasfdts2" timestamp="1591150362"&gt;7&lt;/key&gt;&lt;/foreign-keys&gt;&lt;ref-type name="Book"&gt;6&lt;/ref-type&gt;&lt;contributors&gt;&lt;authors&gt;&lt;author&gt;IARC&lt;/author&gt;&lt;/authors&gt;&lt;secondary-authors&gt;&lt;author&gt;WHO Classification of Tumours Editorial Board&lt;/author&gt;&lt;/secondary-authors&gt;&lt;/contributors&gt;&lt;titles&gt;&lt;title&gt;Soft Tissue and Bone Tumours. WHO Classification of Tumours, 5th Edition, Volume 3&lt;/title&gt;&lt;/titles&gt;&lt;dates&gt;&lt;year&gt;2020&lt;/year&gt;&lt;/dates&gt;&lt;pub-location&gt;Lyon, France&lt;/pub-location&gt;&lt;publisher&gt;IARC Publications&lt;/publisher&gt;&lt;urls&gt;&lt;/urls&gt;&lt;/record&gt;&lt;/Cite&gt;&lt;/EndNote&gt;</w:instrText>
            </w:r>
            <w:r w:rsidRPr="00647E9B">
              <w:rPr>
                <w:rFonts w:ascii="Calibri" w:eastAsia="Calibri" w:hAnsi="Calibri" w:cs="Times New Roman"/>
                <w:sz w:val="16"/>
                <w:szCs w:val="16"/>
              </w:rPr>
              <w:fldChar w:fldCharType="separate"/>
            </w:r>
            <w:r w:rsidRPr="00647E9B">
              <w:rPr>
                <w:rFonts w:ascii="Calibri" w:eastAsia="Calibri" w:hAnsi="Calibri" w:cs="Times New Roman"/>
                <w:noProof/>
                <w:sz w:val="16"/>
                <w:szCs w:val="16"/>
                <w:vertAlign w:val="superscript"/>
              </w:rPr>
              <w:t>1</w:t>
            </w:r>
            <w:r w:rsidRPr="00647E9B">
              <w:rPr>
                <w:rFonts w:ascii="Calibri" w:eastAsia="Calibri" w:hAnsi="Calibri" w:cs="Times New Roman"/>
                <w:sz w:val="16"/>
                <w:szCs w:val="16"/>
              </w:rPr>
              <w:fldChar w:fldCharType="end"/>
            </w:r>
            <w:r w:rsidRPr="00647E9B">
              <w:rPr>
                <w:rFonts w:ascii="Calibri" w:eastAsia="Calibri" w:hAnsi="Calibri" w:cs="Times New Roman"/>
                <w:sz w:val="16"/>
                <w:szCs w:val="16"/>
              </w:rPr>
              <w:t xml:space="preserve"> a diagnosis of atypical cartilaginous tumours/chondrosarcoma grade 1, depends on whether the tumour is located in the appendicular or the axial skeleton, respectively. In the long and short tubular bones these tumours behave in a locally aggressive manner and do not metastasize, can be treated locally, and should not be classified as having full malignant potential. Therefore, the term ‘atypical cartilaginous tumour’ is used for these cartilaginous tumours in the appendicular skeleton (long and short tubular bones). In contrast, the term chondrosarcoma grade 1 is used for histologically similar tumours of the axial skeleton, including the pelvis, scapula and skull base (flat bones) – reflecting the poorer clinical outcome and the necessity of more aggressive treatment of these tumours at these sites. Note that in this dataset, the scapula and skull base are considered to be part of the axial skeleton. </w:t>
            </w:r>
            <w:r w:rsidRPr="00647E9B">
              <w:rPr>
                <w:rFonts w:ascii="Calibri" w:eastAsia="Calibri" w:hAnsi="Calibri" w:cs="Times New Roman"/>
                <w:sz w:val="16"/>
                <w:szCs w:val="16"/>
              </w:rPr>
              <w:lastRenderedPageBreak/>
              <w:t>It should also be noted that the definition of axial versus appendicular is not universally accepted; while the 2020 WHO Classification</w:t>
            </w:r>
            <w:r w:rsidRPr="00647E9B">
              <w:rPr>
                <w:rFonts w:ascii="Calibri" w:eastAsia="Calibri" w:hAnsi="Calibri" w:cs="Times New Roman"/>
                <w:sz w:val="16"/>
                <w:szCs w:val="16"/>
              </w:rPr>
              <w:fldChar w:fldCharType="begin"/>
            </w:r>
            <w:r w:rsidRPr="00647E9B">
              <w:rPr>
                <w:rFonts w:ascii="Calibri" w:eastAsia="Calibri" w:hAnsi="Calibri" w:cs="Times New Roman"/>
                <w:sz w:val="16"/>
                <w:szCs w:val="16"/>
              </w:rPr>
              <w:instrText xml:space="preserve"> ADDIN EN.CITE &lt;EndNote&gt;&lt;Cite&gt;&lt;Author&gt;IARC&lt;/Author&gt;&lt;Year&gt;2020&lt;/Year&gt;&lt;RecNum&gt;7&lt;/RecNum&gt;&lt;DisplayText&gt;&lt;style face="superscript"&gt;1&lt;/style&gt;&lt;/DisplayText&gt;&lt;record&gt;&lt;rec-number&gt;7&lt;/rec-number&gt;&lt;foreign-keys&gt;&lt;key app="EN" db-id="2xdxafpwyafr98e0wt7ps2xrzzfesasfdts2" timestamp="1591150362"&gt;7&lt;/key&gt;&lt;/foreign-keys&gt;&lt;ref-type name="Book"&gt;6&lt;/ref-type&gt;&lt;contributors&gt;&lt;authors&gt;&lt;author&gt;IARC&lt;/author&gt;&lt;/authors&gt;&lt;secondary-authors&gt;&lt;author&gt;WHO Classification of Tumours Editorial Board&lt;/author&gt;&lt;/secondary-authors&gt;&lt;/contributors&gt;&lt;titles&gt;&lt;title&gt;Soft Tissue and Bone Tumours. WHO Classification of Tumours, 5th Edition, Volume 3&lt;/title&gt;&lt;/titles&gt;&lt;dates&gt;&lt;year&gt;2020&lt;/year&gt;&lt;/dates&gt;&lt;pub-location&gt;Lyon, France&lt;/pub-location&gt;&lt;publisher&gt;IARC Publications&lt;/publisher&gt;&lt;urls&gt;&lt;/urls&gt;&lt;/record&gt;&lt;/Cite&gt;&lt;/EndNote&gt;</w:instrText>
            </w:r>
            <w:r w:rsidRPr="00647E9B">
              <w:rPr>
                <w:rFonts w:ascii="Calibri" w:eastAsia="Calibri" w:hAnsi="Calibri" w:cs="Times New Roman"/>
                <w:sz w:val="16"/>
                <w:szCs w:val="16"/>
              </w:rPr>
              <w:fldChar w:fldCharType="separate"/>
            </w:r>
            <w:r w:rsidRPr="00647E9B">
              <w:rPr>
                <w:rFonts w:ascii="Calibri" w:eastAsia="Calibri" w:hAnsi="Calibri" w:cs="Times New Roman"/>
                <w:noProof/>
                <w:sz w:val="16"/>
                <w:szCs w:val="16"/>
                <w:vertAlign w:val="superscript"/>
              </w:rPr>
              <w:t>1</w:t>
            </w:r>
            <w:r w:rsidRPr="00647E9B">
              <w:rPr>
                <w:rFonts w:ascii="Calibri" w:eastAsia="Calibri" w:hAnsi="Calibri" w:cs="Times New Roman"/>
                <w:sz w:val="16"/>
                <w:szCs w:val="16"/>
              </w:rPr>
              <w:fldChar w:fldCharType="end"/>
            </w:r>
            <w:r w:rsidRPr="00647E9B">
              <w:rPr>
                <w:rFonts w:ascii="Calibri" w:eastAsia="Calibri" w:hAnsi="Calibri" w:cs="Times New Roman"/>
                <w:sz w:val="16"/>
                <w:szCs w:val="16"/>
              </w:rPr>
              <w:t xml:space="preserve"> categorises the scapula and skull base as part of the axial skeleton, the </w:t>
            </w:r>
            <w:r w:rsidRPr="00B67C93">
              <w:rPr>
                <w:rFonts w:ascii="Calibri" w:eastAsia="Calibri" w:hAnsi="Calibri" w:cs="Arial"/>
                <w:bCs/>
                <w:iCs/>
                <w:sz w:val="16"/>
                <w:szCs w:val="16"/>
                <w:shd w:val="clear" w:color="auto" w:fill="FFFFFF"/>
              </w:rPr>
              <w:t>Union for International Cancer Control (UICC)</w:t>
            </w:r>
            <w:r w:rsidRPr="00647E9B">
              <w:rPr>
                <w:rFonts w:ascii="Calibri" w:eastAsia="Calibri" w:hAnsi="Calibri" w:cs="Times New Roman"/>
                <w:sz w:val="16"/>
                <w:szCs w:val="16"/>
              </w:rPr>
              <w:fldChar w:fldCharType="begin"/>
            </w:r>
            <w:r w:rsidRPr="00647E9B">
              <w:rPr>
                <w:rFonts w:ascii="Calibri" w:eastAsia="Calibri" w:hAnsi="Calibri" w:cs="Times New Roman"/>
                <w:sz w:val="16"/>
                <w:szCs w:val="16"/>
              </w:rPr>
              <w:instrText xml:space="preserve"> ADDIN EN.CITE &lt;EndNote&gt;&lt;Cite&gt;&lt;Author&gt;Cancer&lt;/Author&gt;&lt;Year&gt;2017&lt;/Year&gt;&lt;RecNum&gt;96&lt;/RecNum&gt;&lt;DisplayText&gt;&lt;style face="superscript"&gt;2&lt;/style&gt;&lt;/DisplayText&gt;&lt;record&gt;&lt;rec-number&gt;96&lt;/rec-number&gt;&lt;foreign-keys&gt;&lt;key app="EN" db-id="ewafata2apt552evr58vw05te2zf5wraa9ae" timestamp="1589623755"&gt;96&lt;/key&gt;&lt;/foreign-keys&gt;&lt;ref-type name="Book"&gt;6&lt;/ref-type&gt;&lt;contributors&gt;&lt;authors&gt;&lt;author&gt;International Union against Cancer &lt;/author&gt;&lt;/authors&gt;&lt;secondary-authors&gt;&lt;author&gt;Brierley JD, Gospodarowicz MK and Wittekind C (eds).&lt;/author&gt;&lt;/secondary-authors&gt;&lt;/contributors&gt;&lt;titles&gt;&lt;title&gt;TNM Classification of Malignant Tumours  (8th Edition).&lt;/title&gt;&lt;/titles&gt;&lt;dates&gt;&lt;year&gt;2017&lt;/year&gt;&lt;/dates&gt;&lt;publisher&gt;Wiley-Blackwell., New York.&lt;/publisher&gt;&lt;urls&gt;&lt;/urls&gt;&lt;/record&gt;&lt;/Cite&gt;&lt;/EndNote&gt;</w:instrText>
            </w:r>
            <w:r w:rsidRPr="00647E9B">
              <w:rPr>
                <w:rFonts w:ascii="Calibri" w:eastAsia="Calibri" w:hAnsi="Calibri" w:cs="Times New Roman"/>
                <w:sz w:val="16"/>
                <w:szCs w:val="16"/>
              </w:rPr>
              <w:fldChar w:fldCharType="separate"/>
            </w:r>
            <w:r w:rsidRPr="00647E9B">
              <w:rPr>
                <w:rFonts w:ascii="Calibri" w:eastAsia="Calibri" w:hAnsi="Calibri" w:cs="Times New Roman"/>
                <w:noProof/>
                <w:sz w:val="16"/>
                <w:szCs w:val="16"/>
                <w:vertAlign w:val="superscript"/>
              </w:rPr>
              <w:t>2</w:t>
            </w:r>
            <w:r w:rsidRPr="00647E9B">
              <w:rPr>
                <w:rFonts w:ascii="Calibri" w:eastAsia="Calibri" w:hAnsi="Calibri" w:cs="Times New Roman"/>
                <w:sz w:val="16"/>
                <w:szCs w:val="16"/>
              </w:rPr>
              <w:fldChar w:fldCharType="end"/>
            </w:r>
            <w:r w:rsidRPr="00647E9B">
              <w:rPr>
                <w:rFonts w:ascii="Calibri" w:eastAsia="Calibri" w:hAnsi="Calibri" w:cs="Times New Roman"/>
                <w:sz w:val="16"/>
                <w:szCs w:val="16"/>
              </w:rPr>
              <w:t>/</w:t>
            </w:r>
            <w:r w:rsidRPr="00647E9B">
              <w:rPr>
                <w:rFonts w:ascii="Calibri" w:eastAsia="Calibri" w:hAnsi="Calibri" w:cs="Arial"/>
                <w:sz w:val="16"/>
                <w:szCs w:val="16"/>
                <w:shd w:val="clear" w:color="auto" w:fill="FFFFFF"/>
              </w:rPr>
              <w:t>American Joint Committee on Cancer (AJCC)</w:t>
            </w:r>
            <w:r w:rsidRPr="00647E9B">
              <w:rPr>
                <w:rFonts w:ascii="Calibri" w:eastAsia="Calibri" w:hAnsi="Calibri" w:cs="Times New Roman"/>
                <w:sz w:val="16"/>
                <w:szCs w:val="16"/>
              </w:rPr>
              <w:fldChar w:fldCharType="begin"/>
            </w:r>
            <w:r w:rsidRPr="00647E9B">
              <w:rPr>
                <w:rFonts w:ascii="Calibri" w:eastAsia="Calibri" w:hAnsi="Calibri" w:cs="Times New Roman"/>
                <w:sz w:val="16"/>
                <w:szCs w:val="16"/>
              </w:rPr>
              <w:instrText xml:space="preserve"> ADDIN EN.CITE &lt;EndNote&gt;&lt;Cite&gt;&lt;Author&gt;Amin MB&lt;/Author&gt;&lt;Year&gt;2017&lt;/Year&gt;&lt;RecNum&gt;95&lt;/RecNum&gt;&lt;DisplayText&gt;&lt;style face="superscript"&gt;3&lt;/style&gt;&lt;/DisplayText&gt;&lt;record&gt;&lt;rec-number&gt;95&lt;/rec-number&gt;&lt;foreign-keys&gt;&lt;key app="EN" db-id="ewafata2apt552evr58vw05te2zf5wraa9ae" timestamp="1589623600"&gt;95&lt;/key&gt;&lt;/foreign-keys&gt;&lt;ref-type name="Book"&gt;6&lt;/ref-type&gt;&lt;contributors&gt;&lt;authors&gt;&lt;author&gt;Amin MB, Edge S, Greene FL, Byrd DR, Brookland RK, Washington MK, Gershenwald JE, Compton CC, Hess KR, Sullivan DC, Jessup JM, Brierley JD, Gaspar LE, Schilsky RL, Balch CM, Winchester DP, Asare EA, Madera M, Gress DM and Meyer LR (eds)&lt;/author&gt;&lt;/authors&gt;&lt;/contributors&gt;&lt;titles&gt;&lt;title&gt;AJCC Cancer Staging Manual. 8th ed. &lt;/title&gt;&lt;/titles&gt;&lt;dates&gt;&lt;year&gt;2017&lt;/year&gt;&lt;/dates&gt;&lt;publisher&gt;Springer., New York.&lt;/publisher&gt;&lt;urls&gt;&lt;/urls&gt;&lt;/record&gt;&lt;/Cite&gt;&lt;/EndNote&gt;</w:instrText>
            </w:r>
            <w:r w:rsidRPr="00647E9B">
              <w:rPr>
                <w:rFonts w:ascii="Calibri" w:eastAsia="Calibri" w:hAnsi="Calibri" w:cs="Times New Roman"/>
                <w:sz w:val="16"/>
                <w:szCs w:val="16"/>
              </w:rPr>
              <w:fldChar w:fldCharType="separate"/>
            </w:r>
            <w:r w:rsidRPr="00647E9B">
              <w:rPr>
                <w:rFonts w:ascii="Calibri" w:eastAsia="Calibri" w:hAnsi="Calibri" w:cs="Times New Roman"/>
                <w:noProof/>
                <w:sz w:val="16"/>
                <w:szCs w:val="16"/>
                <w:vertAlign w:val="superscript"/>
              </w:rPr>
              <w:t>3</w:t>
            </w:r>
            <w:r w:rsidRPr="00647E9B">
              <w:rPr>
                <w:rFonts w:ascii="Calibri" w:eastAsia="Calibri" w:hAnsi="Calibri" w:cs="Times New Roman"/>
                <w:sz w:val="16"/>
                <w:szCs w:val="16"/>
              </w:rPr>
              <w:fldChar w:fldCharType="end"/>
            </w:r>
            <w:r w:rsidRPr="00647E9B">
              <w:rPr>
                <w:rFonts w:ascii="Calibri" w:eastAsia="Calibri" w:hAnsi="Calibri" w:cs="Times New Roman"/>
                <w:sz w:val="16"/>
                <w:szCs w:val="16"/>
              </w:rPr>
              <w:t xml:space="preserve"> TNM 8</w:t>
            </w:r>
            <w:r w:rsidRPr="00647E9B">
              <w:rPr>
                <w:rFonts w:ascii="Calibri" w:eastAsia="Calibri" w:hAnsi="Calibri" w:cs="Times New Roman"/>
                <w:sz w:val="16"/>
                <w:szCs w:val="16"/>
                <w:vertAlign w:val="superscript"/>
              </w:rPr>
              <w:t>th</w:t>
            </w:r>
            <w:r w:rsidRPr="00647E9B">
              <w:rPr>
                <w:rFonts w:ascii="Calibri" w:eastAsia="Calibri" w:hAnsi="Calibri" w:cs="Times New Roman"/>
                <w:sz w:val="16"/>
                <w:szCs w:val="16"/>
              </w:rPr>
              <w:t xml:space="preserve"> editions include these with appendicular skeleton. </w:t>
            </w:r>
          </w:p>
          <w:p w14:paraId="0E57D975" w14:textId="77777777" w:rsidR="00647E9B" w:rsidRPr="00647E9B" w:rsidRDefault="00647E9B" w:rsidP="00647E9B">
            <w:pPr>
              <w:spacing w:after="0" w:line="240" w:lineRule="auto"/>
              <w:rPr>
                <w:rFonts w:ascii="Calibri" w:eastAsia="Calibri" w:hAnsi="Calibri" w:cs="Times New Roman"/>
                <w:sz w:val="16"/>
                <w:szCs w:val="16"/>
              </w:rPr>
            </w:pPr>
          </w:p>
          <w:p w14:paraId="0E57D976" w14:textId="77777777" w:rsidR="00647E9B" w:rsidRPr="00647E9B" w:rsidRDefault="00647E9B" w:rsidP="00647E9B">
            <w:pPr>
              <w:spacing w:after="0" w:line="240" w:lineRule="auto"/>
              <w:rPr>
                <w:rFonts w:ascii="Calibri" w:eastAsia="Calibri" w:hAnsi="Calibri" w:cs="Times New Roman"/>
                <w:sz w:val="16"/>
                <w:szCs w:val="16"/>
              </w:rPr>
            </w:pPr>
            <w:r w:rsidRPr="00647E9B">
              <w:rPr>
                <w:rFonts w:ascii="Calibri" w:eastAsia="Calibri" w:hAnsi="Calibri" w:cs="Times New Roman"/>
                <w:sz w:val="16"/>
                <w:szCs w:val="16"/>
              </w:rPr>
              <w:t xml:space="preserve">The size of the largest tumour nodule should be documented from imaging, preferably in three dimensions as this is important to evaluate the tumour volume. In cases where the radiological tumour dimensions cannot be assessed, such as for multifocal or discontinuous tumour, it is important to note this and record the relative volume of tumour if possible. If biopsies are taken from multiple tumour nodules at different sites, these should be documented separately. </w:t>
            </w:r>
          </w:p>
          <w:p w14:paraId="0E57D977" w14:textId="77777777" w:rsidR="00647E9B" w:rsidRPr="00647E9B" w:rsidRDefault="00647E9B" w:rsidP="00647E9B">
            <w:pPr>
              <w:spacing w:after="0" w:line="240" w:lineRule="auto"/>
              <w:rPr>
                <w:rFonts w:ascii="Calibri" w:eastAsia="Calibri" w:hAnsi="Calibri" w:cs="Times New Roman"/>
                <w:sz w:val="16"/>
                <w:szCs w:val="16"/>
              </w:rPr>
            </w:pPr>
          </w:p>
          <w:p w14:paraId="0E57D978" w14:textId="77777777" w:rsidR="00647E9B" w:rsidRPr="00647E9B" w:rsidRDefault="00647E9B" w:rsidP="00647E9B">
            <w:pPr>
              <w:spacing w:after="0" w:line="240" w:lineRule="auto"/>
              <w:rPr>
                <w:rFonts w:ascii="Calibri" w:eastAsia="Calibri" w:hAnsi="Calibri" w:cs="Times New Roman"/>
                <w:sz w:val="16"/>
                <w:szCs w:val="16"/>
              </w:rPr>
            </w:pPr>
            <w:r w:rsidRPr="00647E9B">
              <w:rPr>
                <w:rFonts w:ascii="Calibri" w:eastAsia="Calibri" w:hAnsi="Calibri" w:cs="Times New Roman"/>
                <w:sz w:val="16"/>
                <w:szCs w:val="16"/>
              </w:rPr>
              <w:t xml:space="preserve">It is important to know the exact tumour site within the bone; for intramedullary tumours and those arising primary at the surface of bone, the histological differential diagnosis will differ. Also, some tumours almost exclusively occur in the epiphysis of the bone (e.g., clear cell chondrosarcoma, giant cell tumour of bone), while others prefer the metaphysis (osteosarcoma) or diaphysis (Ewing sarcoma, adamantinoma). Moreover, primary soft tissue sarcomas may be in close proximity and even invade the bone, while primary bone sarcomas may have an extensive soft tissue component; in these cases, radiological information is required to decide whether the tumour originates primarily from bone or soft tissue. </w:t>
            </w:r>
          </w:p>
          <w:p w14:paraId="0E57D979" w14:textId="77777777" w:rsidR="00647E9B" w:rsidRPr="00647E9B" w:rsidRDefault="00647E9B" w:rsidP="00647E9B">
            <w:pPr>
              <w:spacing w:after="0" w:line="240" w:lineRule="auto"/>
              <w:rPr>
                <w:rFonts w:ascii="Calibri" w:eastAsia="Calibri" w:hAnsi="Calibri" w:cs="Times New Roman"/>
                <w:b/>
                <w:color w:val="808080"/>
                <w:sz w:val="16"/>
                <w:szCs w:val="16"/>
              </w:rPr>
            </w:pPr>
          </w:p>
          <w:p w14:paraId="0E57D97A" w14:textId="77777777" w:rsidR="00647E9B" w:rsidRDefault="00647E9B" w:rsidP="00647E9B">
            <w:pPr>
              <w:spacing w:after="0" w:line="240" w:lineRule="auto"/>
              <w:rPr>
                <w:rFonts w:ascii="Calibri" w:eastAsia="Calibri" w:hAnsi="Calibri" w:cs="Times New Roman"/>
                <w:sz w:val="16"/>
                <w:szCs w:val="16"/>
              </w:rPr>
            </w:pPr>
            <w:r w:rsidRPr="00647E9B">
              <w:rPr>
                <w:rFonts w:ascii="Calibri" w:eastAsia="Calibri" w:hAnsi="Calibri" w:cs="Times New Roman"/>
                <w:sz w:val="16"/>
                <w:szCs w:val="16"/>
              </w:rPr>
              <w:t xml:space="preserve">It is important for the pathologist to be aware of the radiological differential diagnosis, and to be aware of previous radiological findings, if applicable. Correlation between the histology and imaging findings is critical in the diagnosis of bone tumours. For instance, aggressive features identified radiographically (permeative/moth-eaten growth, cortical destruction, soft tissue extension, periosteal reaction) should be mentioned here, as well as multifocality, evidence of matrix deposition, presence of fluid-fluid levels etc. Ideally every case should be discussed in a multidisciplinary team or the pathologist should have access to the imaging findings, when evaluating a biopsy. For cartilaginous tumours for instance, the distinction between benign and low grade malignancy may depend solely on whether or not there is cortical destruction, which may be impossible to evaluate on biopsy or fragmented curettage specimens alone. Therefore, these diagnoses cannot be made without radiological correlation. The presence of fracture should always be documented as it may alter the morphological features and, in some instances, simulate aggressive features, such as host bone entrapment. As the histological alterations caused by the fracture change over time, it is important to know the time frame between fracture and biopsy. Finally, certain bone tumours (cartilaginous tumours, vascular tumours) tend to occur multifocally, and this information is also helpful for the pathologist. The histological diagnosis should always be correlated with the radiological diagnosis and one should always be cautious when there is a discrepancy between radiological and histological findings. Multidisciplinary discussion is essential and a repeat biopsy should be considered if differences of opinion are not resolved. </w:t>
            </w:r>
          </w:p>
          <w:p w14:paraId="0E57D97B" w14:textId="77777777" w:rsidR="00647E9B" w:rsidRPr="00647E9B" w:rsidRDefault="00647E9B" w:rsidP="00647E9B">
            <w:pPr>
              <w:spacing w:after="0" w:line="240" w:lineRule="auto"/>
              <w:rPr>
                <w:rFonts w:ascii="Calibri" w:eastAsia="Calibri" w:hAnsi="Calibri" w:cs="Times New Roman"/>
                <w:sz w:val="16"/>
                <w:szCs w:val="16"/>
              </w:rPr>
            </w:pPr>
          </w:p>
          <w:p w14:paraId="0E57D97C" w14:textId="77777777" w:rsidR="00647E9B" w:rsidRPr="00647E9B" w:rsidRDefault="00647E9B" w:rsidP="00647E9B">
            <w:pPr>
              <w:spacing w:after="0" w:line="240" w:lineRule="auto"/>
              <w:rPr>
                <w:rFonts w:ascii="Calibri" w:eastAsia="Calibri" w:hAnsi="Calibri" w:cs="Times New Roman"/>
                <w:b/>
                <w:sz w:val="16"/>
                <w:szCs w:val="16"/>
              </w:rPr>
            </w:pPr>
            <w:r w:rsidRPr="00647E9B">
              <w:rPr>
                <w:rFonts w:ascii="Calibri" w:eastAsia="Calibri" w:hAnsi="Calibri" w:cs="Times New Roman"/>
                <w:b/>
                <w:sz w:val="16"/>
                <w:szCs w:val="16"/>
              </w:rPr>
              <w:t xml:space="preserve">References </w:t>
            </w:r>
          </w:p>
          <w:p w14:paraId="0E57D97D" w14:textId="77777777" w:rsidR="00647E9B" w:rsidRPr="00647E9B" w:rsidRDefault="00647E9B" w:rsidP="00647E9B">
            <w:pPr>
              <w:spacing w:after="0" w:line="240" w:lineRule="auto"/>
              <w:ind w:left="317" w:hanging="317"/>
              <w:rPr>
                <w:rFonts w:ascii="Calibri" w:eastAsia="Calibri" w:hAnsi="Calibri" w:cs="Times New Roman"/>
                <w:noProof/>
                <w:sz w:val="16"/>
                <w:szCs w:val="16"/>
                <w:lang w:val="en-US"/>
              </w:rPr>
            </w:pPr>
            <w:r w:rsidRPr="00647E9B">
              <w:rPr>
                <w:rFonts w:ascii="Calibri" w:eastAsia="Calibri" w:hAnsi="Calibri" w:cs="Times New Roman"/>
                <w:noProof/>
                <w:sz w:val="16"/>
                <w:szCs w:val="16"/>
                <w:lang w:val="en-US"/>
              </w:rPr>
              <w:fldChar w:fldCharType="begin"/>
            </w:r>
            <w:r w:rsidRPr="00647E9B">
              <w:rPr>
                <w:rFonts w:ascii="Calibri" w:eastAsia="Calibri" w:hAnsi="Calibri" w:cs="Times New Roman"/>
                <w:noProof/>
                <w:sz w:val="16"/>
                <w:szCs w:val="16"/>
                <w:lang w:val="en-US"/>
              </w:rPr>
              <w:instrText xml:space="preserve"> ADDIN EN.REFLIST </w:instrText>
            </w:r>
            <w:r w:rsidRPr="00647E9B">
              <w:rPr>
                <w:rFonts w:ascii="Calibri" w:eastAsia="Calibri" w:hAnsi="Calibri" w:cs="Times New Roman"/>
                <w:noProof/>
                <w:sz w:val="16"/>
                <w:szCs w:val="16"/>
                <w:lang w:val="en-US"/>
              </w:rPr>
              <w:fldChar w:fldCharType="separate"/>
            </w:r>
            <w:r w:rsidRPr="00647E9B">
              <w:rPr>
                <w:rFonts w:ascii="Calibri" w:eastAsia="Calibri" w:hAnsi="Calibri" w:cs="Times New Roman"/>
                <w:noProof/>
                <w:sz w:val="16"/>
                <w:szCs w:val="16"/>
                <w:lang w:val="en-US"/>
              </w:rPr>
              <w:t>1</w:t>
            </w:r>
            <w:r w:rsidRPr="00647E9B">
              <w:rPr>
                <w:rFonts w:ascii="Calibri" w:eastAsia="Calibri" w:hAnsi="Calibri" w:cs="Times New Roman"/>
                <w:noProof/>
                <w:sz w:val="16"/>
                <w:szCs w:val="16"/>
                <w:lang w:val="en-US"/>
              </w:rPr>
              <w:tab/>
            </w:r>
            <w:r w:rsidRPr="00647E9B">
              <w:rPr>
                <w:rFonts w:ascii="Calibri" w:eastAsia="Calibri" w:hAnsi="Calibri" w:cs="Segoe UI"/>
                <w:noProof/>
                <w:sz w:val="16"/>
                <w:szCs w:val="16"/>
                <w:lang w:val="en-US" w:eastAsia="en-AU"/>
              </w:rPr>
              <w:t>WHO Classification of Tumours Editorial Board</w:t>
            </w:r>
            <w:r w:rsidRPr="00647E9B">
              <w:rPr>
                <w:rFonts w:ascii="Calibri" w:eastAsia="Calibri" w:hAnsi="Calibri" w:cs="Times New Roman"/>
                <w:noProof/>
                <w:sz w:val="16"/>
                <w:szCs w:val="16"/>
                <w:lang w:val="en-US"/>
              </w:rPr>
              <w:t xml:space="preserve"> (2020). </w:t>
            </w:r>
            <w:r w:rsidRPr="00647E9B">
              <w:rPr>
                <w:rFonts w:ascii="Calibri" w:eastAsia="Calibri" w:hAnsi="Calibri" w:cs="Times New Roman"/>
                <w:i/>
                <w:noProof/>
                <w:sz w:val="16"/>
                <w:szCs w:val="16"/>
                <w:lang w:val="en-US"/>
              </w:rPr>
              <w:t>Soft Tissue and Bone Tumours. WHO Classification of Tumours, 5th Edition, Volume 3</w:t>
            </w:r>
            <w:r w:rsidRPr="00647E9B">
              <w:rPr>
                <w:rFonts w:ascii="Calibri" w:eastAsia="Calibri" w:hAnsi="Calibri" w:cs="Times New Roman"/>
                <w:noProof/>
                <w:sz w:val="16"/>
                <w:szCs w:val="16"/>
                <w:lang w:val="en-US"/>
              </w:rPr>
              <w:t>. IARC Publications, Lyon.</w:t>
            </w:r>
          </w:p>
          <w:p w14:paraId="0E57D97E" w14:textId="77777777" w:rsidR="00647E9B" w:rsidRPr="00647E9B" w:rsidRDefault="00647E9B" w:rsidP="00647E9B">
            <w:pPr>
              <w:spacing w:after="0" w:line="240" w:lineRule="auto"/>
              <w:ind w:left="317" w:hanging="317"/>
              <w:rPr>
                <w:rFonts w:ascii="Calibri" w:eastAsia="Calibri" w:hAnsi="Calibri" w:cs="Times New Roman"/>
                <w:noProof/>
                <w:sz w:val="16"/>
                <w:szCs w:val="16"/>
              </w:rPr>
            </w:pPr>
            <w:r w:rsidRPr="00647E9B">
              <w:rPr>
                <w:rFonts w:ascii="Calibri" w:eastAsia="Calibri" w:hAnsi="Calibri" w:cs="Times New Roman"/>
                <w:noProof/>
                <w:sz w:val="16"/>
                <w:szCs w:val="16"/>
                <w:lang w:val="en-US"/>
              </w:rPr>
              <w:t>2</w:t>
            </w:r>
            <w:r w:rsidRPr="00647E9B">
              <w:rPr>
                <w:rFonts w:ascii="Calibri" w:eastAsia="Calibri" w:hAnsi="Calibri" w:cs="Times New Roman"/>
                <w:noProof/>
                <w:sz w:val="16"/>
                <w:szCs w:val="16"/>
                <w:lang w:val="en-US"/>
              </w:rPr>
              <w:tab/>
              <w:t>Brierley JD, Gospodarowicz MK and Wittekind C (eds) (2016).</w:t>
            </w:r>
            <w:r w:rsidRPr="00647E9B">
              <w:rPr>
                <w:rFonts w:ascii="Calibri" w:eastAsia="Calibri" w:hAnsi="Calibri" w:cs="Times New Roman"/>
                <w:i/>
                <w:noProof/>
                <w:sz w:val="16"/>
                <w:szCs w:val="16"/>
                <w:lang w:val="en-US"/>
              </w:rPr>
              <w:t xml:space="preserve"> Union for International Cancer Control. TNM Classification of Malignant Tumours, 8th Edition</w:t>
            </w:r>
            <w:r w:rsidRPr="00647E9B">
              <w:rPr>
                <w:rFonts w:ascii="Calibri" w:eastAsia="Calibri" w:hAnsi="Calibri" w:cs="Times New Roman"/>
                <w:noProof/>
                <w:sz w:val="16"/>
                <w:szCs w:val="16"/>
                <w:lang w:val="en-US"/>
              </w:rPr>
              <w:t>, Wiley, USA.</w:t>
            </w:r>
          </w:p>
          <w:p w14:paraId="0E57D97F" w14:textId="77777777" w:rsidR="00647E9B" w:rsidRPr="00647E9B" w:rsidRDefault="00647E9B" w:rsidP="00B67C93">
            <w:pPr>
              <w:spacing w:after="0" w:line="240" w:lineRule="auto"/>
              <w:ind w:left="317" w:hanging="317"/>
              <w:rPr>
                <w:rFonts w:ascii="Calibri" w:hAnsi="Calibri"/>
                <w:color w:val="000000"/>
                <w:sz w:val="16"/>
                <w:szCs w:val="16"/>
              </w:rPr>
            </w:pPr>
            <w:r w:rsidRPr="00647E9B">
              <w:rPr>
                <w:rFonts w:ascii="Calibri" w:eastAsia="Calibri" w:hAnsi="Calibri" w:cs="Times New Roman"/>
                <w:noProof/>
                <w:sz w:val="16"/>
                <w:szCs w:val="16"/>
                <w:lang w:val="en-US"/>
              </w:rPr>
              <w:t>3</w:t>
            </w:r>
            <w:r w:rsidRPr="00647E9B">
              <w:rPr>
                <w:rFonts w:ascii="Calibri" w:eastAsia="Calibri" w:hAnsi="Calibri" w:cs="Times New Roman"/>
                <w:noProof/>
                <w:sz w:val="16"/>
                <w:szCs w:val="16"/>
                <w:lang w:val="en-US"/>
              </w:rPr>
              <w:tab/>
            </w:r>
            <w:r w:rsidRPr="00647E9B">
              <w:rPr>
                <w:rFonts w:ascii="Calibri" w:eastAsia="Calibri" w:hAnsi="Calibri" w:cs="Times New Roman"/>
                <w:noProof/>
                <w:sz w:val="16"/>
                <w:szCs w:val="16"/>
              </w:rPr>
              <w:t xml:space="preserve">Amin MB, Edge S, Greene FL, Byrd DR, Brookland RK, Washington MK, Gershenwald JE, Compton CC, Hess KR, Sullivan DC, Jessup JM, Brierley JD, Gaspar LE, Schilsky RL, Balch CM, Winchester DP, Asare EA, Madera M, Gress DM and Meyer LR (eds) (2017). </w:t>
            </w:r>
            <w:r w:rsidRPr="00647E9B">
              <w:rPr>
                <w:rFonts w:ascii="Calibri" w:eastAsia="Calibri" w:hAnsi="Calibri" w:cs="Times New Roman"/>
                <w:i/>
                <w:noProof/>
                <w:sz w:val="16"/>
                <w:szCs w:val="16"/>
              </w:rPr>
              <w:t>AJCC Cancer Staging Manual. 8th ed</w:t>
            </w:r>
            <w:r w:rsidRPr="00647E9B">
              <w:rPr>
                <w:rFonts w:ascii="Calibri" w:eastAsia="Calibri" w:hAnsi="Calibri" w:cs="Times New Roman"/>
                <w:noProof/>
                <w:sz w:val="16"/>
                <w:szCs w:val="16"/>
              </w:rPr>
              <w:t>. Springer, New York.</w:t>
            </w:r>
            <w:r w:rsidRPr="00647E9B">
              <w:rPr>
                <w:rFonts w:ascii="Calibri" w:eastAsia="Calibri" w:hAnsi="Calibri" w:cs="Times New Roman"/>
                <w:sz w:val="16"/>
                <w:szCs w:val="16"/>
              </w:rPr>
              <w:fldChar w:fldCharType="end"/>
            </w:r>
          </w:p>
        </w:tc>
        <w:tc>
          <w:tcPr>
            <w:tcW w:w="1701" w:type="dxa"/>
            <w:tcBorders>
              <w:top w:val="nil"/>
              <w:left w:val="nil"/>
              <w:bottom w:val="single" w:sz="4" w:space="0" w:color="auto"/>
              <w:right w:val="single" w:sz="4" w:space="0" w:color="auto"/>
            </w:tcBorders>
            <w:shd w:val="clear" w:color="auto" w:fill="auto"/>
          </w:tcPr>
          <w:p w14:paraId="0E57D980" w14:textId="77777777" w:rsidR="00594B08" w:rsidRPr="00B411AB" w:rsidRDefault="00283652" w:rsidP="0048230B">
            <w:pPr>
              <w:rPr>
                <w:rFonts w:ascii="Calibri" w:hAnsi="Calibri"/>
                <w:color w:val="000000"/>
                <w:sz w:val="16"/>
                <w:szCs w:val="16"/>
              </w:rPr>
            </w:pPr>
            <w:r w:rsidRPr="00283652">
              <w:rPr>
                <w:rFonts w:ascii="Calibri" w:hAnsi="Calibri"/>
                <w:color w:val="000000"/>
                <w:sz w:val="18"/>
                <w:szCs w:val="18"/>
                <w:vertAlign w:val="superscript"/>
              </w:rPr>
              <w:lastRenderedPageBreak/>
              <w:t xml:space="preserve"> </w:t>
            </w:r>
          </w:p>
        </w:tc>
      </w:tr>
      <w:tr w:rsidR="00184056" w:rsidRPr="00CC5E7C" w14:paraId="0E57D98D" w14:textId="77777777" w:rsidTr="00AC0018">
        <w:trPr>
          <w:cantSplit/>
          <w:trHeight w:val="570"/>
        </w:trPr>
        <w:tc>
          <w:tcPr>
            <w:tcW w:w="866" w:type="dxa"/>
            <w:tcBorders>
              <w:top w:val="nil"/>
              <w:left w:val="single" w:sz="4" w:space="0" w:color="auto"/>
              <w:bottom w:val="single" w:sz="4" w:space="0" w:color="auto"/>
              <w:right w:val="single" w:sz="4" w:space="0" w:color="auto"/>
            </w:tcBorders>
            <w:shd w:val="clear" w:color="000000" w:fill="EEECE1"/>
          </w:tcPr>
          <w:p w14:paraId="0E57D982" w14:textId="77777777" w:rsidR="00184056" w:rsidRDefault="00BD7708" w:rsidP="008916C4">
            <w:pPr>
              <w:spacing w:after="0"/>
              <w:rPr>
                <w:rFonts w:ascii="Calibri" w:hAnsi="Calibri"/>
                <w:color w:val="000000"/>
                <w:sz w:val="16"/>
                <w:szCs w:val="16"/>
              </w:rPr>
            </w:pPr>
            <w:r>
              <w:rPr>
                <w:rFonts w:ascii="Calibri" w:hAnsi="Calibri"/>
                <w:color w:val="000000"/>
                <w:sz w:val="16"/>
                <w:szCs w:val="16"/>
              </w:rPr>
              <w:lastRenderedPageBreak/>
              <w:t>C</w:t>
            </w:r>
            <w:r w:rsidR="00184056">
              <w:rPr>
                <w:rFonts w:ascii="Calibri" w:hAnsi="Calibri"/>
                <w:color w:val="000000"/>
                <w:sz w:val="16"/>
                <w:szCs w:val="16"/>
              </w:rPr>
              <w:t>ore</w:t>
            </w:r>
            <w:r w:rsidR="00EF5233">
              <w:rPr>
                <w:rFonts w:ascii="Calibri" w:hAnsi="Calibri"/>
                <w:color w:val="000000"/>
                <w:sz w:val="16"/>
                <w:szCs w:val="16"/>
              </w:rPr>
              <w:t xml:space="preserve"> and Non</w:t>
            </w:r>
            <w:r w:rsidR="001C3F53">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0E57D983" w14:textId="77777777" w:rsidR="00184056" w:rsidRPr="000C27B1" w:rsidRDefault="00EF5233" w:rsidP="00EF5233">
            <w:pPr>
              <w:rPr>
                <w:rFonts w:ascii="Calibri" w:hAnsi="Calibri"/>
                <w:bCs/>
                <w:color w:val="000000"/>
                <w:sz w:val="16"/>
                <w:szCs w:val="16"/>
              </w:rPr>
            </w:pPr>
            <w:r w:rsidRPr="001C3F53">
              <w:rPr>
                <w:rFonts w:ascii="Calibri" w:hAnsi="Calibri"/>
                <w:bCs/>
                <w:color w:val="000000"/>
                <w:sz w:val="16"/>
                <w:szCs w:val="16"/>
              </w:rPr>
              <w:t>OPERATIVE PROCEDURE</w:t>
            </w:r>
          </w:p>
        </w:tc>
        <w:tc>
          <w:tcPr>
            <w:tcW w:w="2835" w:type="dxa"/>
            <w:tcBorders>
              <w:top w:val="nil"/>
              <w:left w:val="nil"/>
              <w:bottom w:val="single" w:sz="4" w:space="0" w:color="auto"/>
              <w:right w:val="single" w:sz="4" w:space="0" w:color="auto"/>
            </w:tcBorders>
            <w:shd w:val="clear" w:color="auto" w:fill="auto"/>
          </w:tcPr>
          <w:p w14:paraId="0E57D984" w14:textId="77777777" w:rsidR="001C3F53" w:rsidRDefault="001C3F53" w:rsidP="003D276B">
            <w:pPr>
              <w:pStyle w:val="Pa9"/>
              <w:numPr>
                <w:ilvl w:val="0"/>
                <w:numId w:val="6"/>
              </w:numPr>
              <w:spacing w:after="40"/>
              <w:ind w:left="176" w:hanging="142"/>
              <w:rPr>
                <w:rStyle w:val="A3"/>
                <w:rFonts w:asciiTheme="minorHAnsi" w:hAnsiTheme="minorHAnsi"/>
              </w:rPr>
            </w:pPr>
            <w:r w:rsidRPr="001C3F53">
              <w:rPr>
                <w:rStyle w:val="A3"/>
                <w:rFonts w:asciiTheme="minorHAnsi" w:hAnsiTheme="minorHAnsi"/>
              </w:rPr>
              <w:t>Not specified</w:t>
            </w:r>
          </w:p>
          <w:p w14:paraId="0E57D985" w14:textId="77777777" w:rsidR="001C3F53" w:rsidRPr="00214993" w:rsidRDefault="001C3F53" w:rsidP="003D276B">
            <w:pPr>
              <w:pStyle w:val="ListParagraph"/>
              <w:numPr>
                <w:ilvl w:val="0"/>
                <w:numId w:val="8"/>
              </w:numPr>
              <w:spacing w:after="0" w:line="240" w:lineRule="auto"/>
              <w:ind w:left="176" w:hanging="142"/>
              <w:rPr>
                <w:rFonts w:ascii="Calibri" w:hAnsi="Calibri"/>
                <w:bCs/>
                <w:sz w:val="16"/>
                <w:szCs w:val="16"/>
              </w:rPr>
            </w:pPr>
            <w:r w:rsidRPr="00214993">
              <w:rPr>
                <w:rFonts w:ascii="Calibri" w:hAnsi="Calibri"/>
                <w:bCs/>
                <w:sz w:val="16"/>
                <w:szCs w:val="16"/>
              </w:rPr>
              <w:t>Core needle biopsy</w:t>
            </w:r>
          </w:p>
          <w:p w14:paraId="0E57D986" w14:textId="77777777" w:rsidR="001C3F53" w:rsidRPr="00B67C93" w:rsidRDefault="001C3F53" w:rsidP="001C3F53">
            <w:pPr>
              <w:pStyle w:val="Default"/>
              <w:rPr>
                <w:rFonts w:asciiTheme="minorHAnsi" w:hAnsiTheme="minorHAnsi"/>
                <w:color w:val="A6A6A6" w:themeColor="background1" w:themeShade="A6"/>
                <w:sz w:val="16"/>
                <w:szCs w:val="16"/>
              </w:rPr>
            </w:pPr>
            <w:r>
              <w:rPr>
                <w:rFonts w:asciiTheme="minorHAnsi" w:hAnsiTheme="minorHAnsi"/>
                <w:color w:val="949698"/>
                <w:sz w:val="16"/>
                <w:szCs w:val="16"/>
              </w:rPr>
              <w:t xml:space="preserve">             </w:t>
            </w:r>
            <w:r w:rsidRPr="000936EF">
              <w:rPr>
                <w:rFonts w:asciiTheme="minorHAnsi" w:hAnsiTheme="minorHAnsi"/>
                <w:color w:val="808080" w:themeColor="background1" w:themeShade="80"/>
                <w:sz w:val="16"/>
                <w:szCs w:val="16"/>
              </w:rPr>
              <w:t>Number of cores  _____</w:t>
            </w:r>
          </w:p>
          <w:p w14:paraId="0E57D987" w14:textId="77777777" w:rsidR="001C3F53" w:rsidRPr="00214993" w:rsidRDefault="001C3F53" w:rsidP="003D276B">
            <w:pPr>
              <w:pStyle w:val="ListParagraph"/>
              <w:numPr>
                <w:ilvl w:val="0"/>
                <w:numId w:val="8"/>
              </w:numPr>
              <w:spacing w:after="0" w:line="240" w:lineRule="auto"/>
              <w:ind w:left="176" w:hanging="142"/>
              <w:rPr>
                <w:rFonts w:ascii="Calibri" w:hAnsi="Calibri"/>
                <w:bCs/>
                <w:sz w:val="16"/>
                <w:szCs w:val="16"/>
              </w:rPr>
            </w:pPr>
            <w:r w:rsidRPr="00214993">
              <w:rPr>
                <w:rFonts w:ascii="Calibri" w:hAnsi="Calibri"/>
                <w:bCs/>
                <w:sz w:val="16"/>
                <w:szCs w:val="16"/>
              </w:rPr>
              <w:t>Open incisional biopsy</w:t>
            </w:r>
          </w:p>
          <w:p w14:paraId="0E57D988" w14:textId="77777777" w:rsidR="001C3F53" w:rsidRPr="00214993" w:rsidRDefault="001C3F53" w:rsidP="003D276B">
            <w:pPr>
              <w:pStyle w:val="ListParagraph"/>
              <w:numPr>
                <w:ilvl w:val="0"/>
                <w:numId w:val="8"/>
              </w:numPr>
              <w:spacing w:after="0" w:line="240" w:lineRule="auto"/>
              <w:ind w:left="176" w:hanging="142"/>
              <w:rPr>
                <w:rFonts w:ascii="Calibri" w:hAnsi="Calibri"/>
                <w:bCs/>
                <w:sz w:val="16"/>
                <w:szCs w:val="16"/>
              </w:rPr>
            </w:pPr>
            <w:r w:rsidRPr="00214993">
              <w:rPr>
                <w:rFonts w:ascii="Calibri" w:hAnsi="Calibri"/>
                <w:bCs/>
                <w:sz w:val="16"/>
                <w:szCs w:val="16"/>
              </w:rPr>
              <w:t>Excisional biopsy/marginal excision</w:t>
            </w:r>
          </w:p>
          <w:p w14:paraId="0E57D989" w14:textId="77777777" w:rsidR="001C3F53" w:rsidRPr="00214993" w:rsidRDefault="001C3F53" w:rsidP="003D276B">
            <w:pPr>
              <w:pStyle w:val="ListParagraph"/>
              <w:numPr>
                <w:ilvl w:val="0"/>
                <w:numId w:val="8"/>
              </w:numPr>
              <w:spacing w:after="0" w:line="240" w:lineRule="auto"/>
              <w:ind w:left="176" w:hanging="142"/>
              <w:rPr>
                <w:rFonts w:ascii="Calibri" w:hAnsi="Calibri"/>
                <w:bCs/>
                <w:sz w:val="16"/>
                <w:szCs w:val="16"/>
              </w:rPr>
            </w:pPr>
            <w:r w:rsidRPr="00214993">
              <w:rPr>
                <w:rFonts w:ascii="Calibri" w:hAnsi="Calibri"/>
                <w:bCs/>
                <w:sz w:val="16"/>
                <w:szCs w:val="16"/>
              </w:rPr>
              <w:t>Curettage</w:t>
            </w:r>
          </w:p>
          <w:p w14:paraId="0E57D98A" w14:textId="77777777" w:rsidR="00184056" w:rsidRPr="001C3F53" w:rsidRDefault="001C3F53" w:rsidP="00947F35">
            <w:pPr>
              <w:pStyle w:val="ListParagraph"/>
              <w:numPr>
                <w:ilvl w:val="0"/>
                <w:numId w:val="8"/>
              </w:numPr>
              <w:spacing w:after="80" w:line="240" w:lineRule="auto"/>
              <w:ind w:left="176" w:hanging="142"/>
              <w:rPr>
                <w:rFonts w:cs="Verdana"/>
                <w:color w:val="221E1F"/>
                <w:sz w:val="16"/>
                <w:szCs w:val="16"/>
              </w:rPr>
            </w:pPr>
            <w:r w:rsidRPr="00214993">
              <w:rPr>
                <w:rFonts w:ascii="Calibri" w:hAnsi="Calibri"/>
                <w:bCs/>
                <w:sz w:val="16"/>
                <w:szCs w:val="16"/>
              </w:rPr>
              <w:t>Other</w:t>
            </w:r>
            <w:r w:rsidR="00BD7708" w:rsidRPr="00214993">
              <w:rPr>
                <w:rFonts w:ascii="Calibri" w:hAnsi="Calibri"/>
                <w:bCs/>
                <w:sz w:val="16"/>
                <w:szCs w:val="16"/>
              </w:rPr>
              <w:t xml:space="preserve">, </w:t>
            </w:r>
            <w:r w:rsidR="00BD7708" w:rsidRPr="00214993">
              <w:rPr>
                <w:rFonts w:ascii="Calibri" w:hAnsi="Calibri"/>
                <w:bCs/>
                <w:i/>
                <w:sz w:val="16"/>
                <w:szCs w:val="16"/>
              </w:rPr>
              <w:t>specify</w:t>
            </w:r>
          </w:p>
        </w:tc>
        <w:tc>
          <w:tcPr>
            <w:tcW w:w="8222" w:type="dxa"/>
            <w:tcBorders>
              <w:top w:val="nil"/>
              <w:left w:val="nil"/>
              <w:bottom w:val="single" w:sz="4" w:space="0" w:color="auto"/>
              <w:right w:val="single" w:sz="4" w:space="0" w:color="auto"/>
            </w:tcBorders>
            <w:shd w:val="clear" w:color="auto" w:fill="auto"/>
          </w:tcPr>
          <w:p w14:paraId="0E57D98B" w14:textId="77777777" w:rsidR="00184056" w:rsidRPr="00837AFB" w:rsidRDefault="00BE37E7" w:rsidP="007610DC">
            <w:pPr>
              <w:pStyle w:val="EndNoteBibliography"/>
              <w:spacing w:after="0"/>
              <w:rPr>
                <w:rFonts w:asciiTheme="minorHAnsi" w:hAnsiTheme="minorHAnsi"/>
                <w:iCs/>
                <w:sz w:val="16"/>
                <w:szCs w:val="16"/>
              </w:rPr>
            </w:pPr>
            <w:r w:rsidRPr="00BE37E7">
              <w:rPr>
                <w:rFonts w:asciiTheme="minorHAnsi" w:hAnsiTheme="minorHAnsi"/>
                <w:iCs/>
                <w:sz w:val="16"/>
                <w:szCs w:val="16"/>
              </w:rPr>
              <w:t>It is important to capture both the type and intent of the operative diagnostic procedure.</w:t>
            </w:r>
          </w:p>
        </w:tc>
        <w:tc>
          <w:tcPr>
            <w:tcW w:w="1701" w:type="dxa"/>
            <w:tcBorders>
              <w:top w:val="nil"/>
              <w:left w:val="nil"/>
              <w:bottom w:val="single" w:sz="4" w:space="0" w:color="auto"/>
              <w:right w:val="single" w:sz="4" w:space="0" w:color="auto"/>
            </w:tcBorders>
            <w:shd w:val="clear" w:color="auto" w:fill="auto"/>
          </w:tcPr>
          <w:p w14:paraId="0E57D98C" w14:textId="77777777" w:rsidR="00184056" w:rsidRPr="00BD7708" w:rsidRDefault="00184056" w:rsidP="003D6838">
            <w:pPr>
              <w:spacing w:after="0"/>
              <w:rPr>
                <w:rFonts w:ascii="Calibri" w:hAnsi="Calibri"/>
                <w:color w:val="000000"/>
                <w:sz w:val="16"/>
                <w:szCs w:val="16"/>
              </w:rPr>
            </w:pPr>
          </w:p>
        </w:tc>
      </w:tr>
      <w:tr w:rsidR="00796A6D" w:rsidRPr="00CC5E7C" w14:paraId="0E57D996" w14:textId="77777777" w:rsidTr="00BD7708">
        <w:trPr>
          <w:trHeight w:val="1473"/>
        </w:trPr>
        <w:tc>
          <w:tcPr>
            <w:tcW w:w="866" w:type="dxa"/>
            <w:tcBorders>
              <w:top w:val="nil"/>
              <w:left w:val="single" w:sz="4" w:space="0" w:color="auto"/>
              <w:bottom w:val="single" w:sz="4" w:space="0" w:color="auto"/>
              <w:right w:val="single" w:sz="4" w:space="0" w:color="auto"/>
            </w:tcBorders>
            <w:shd w:val="clear" w:color="000000" w:fill="EEECE1"/>
          </w:tcPr>
          <w:p w14:paraId="0E57D98E" w14:textId="77777777" w:rsidR="00796A6D" w:rsidRPr="00AC0018" w:rsidRDefault="00BA6123" w:rsidP="008916C4">
            <w:pPr>
              <w:spacing w:after="0"/>
              <w:rPr>
                <w:rFonts w:ascii="Calibri" w:hAnsi="Calibri"/>
                <w:color w:val="A6A6A6" w:themeColor="background1" w:themeShade="A6"/>
                <w:sz w:val="16"/>
                <w:szCs w:val="16"/>
              </w:rPr>
            </w:pPr>
            <w:r w:rsidRPr="00947F35">
              <w:rPr>
                <w:rFonts w:ascii="Calibri" w:hAnsi="Calibri"/>
                <w:sz w:val="16"/>
                <w:szCs w:val="16"/>
              </w:rPr>
              <w:t>Non-core</w:t>
            </w:r>
          </w:p>
        </w:tc>
        <w:tc>
          <w:tcPr>
            <w:tcW w:w="1559" w:type="dxa"/>
            <w:tcBorders>
              <w:top w:val="nil"/>
              <w:left w:val="nil"/>
              <w:bottom w:val="single" w:sz="4" w:space="0" w:color="auto"/>
              <w:right w:val="single" w:sz="4" w:space="0" w:color="auto"/>
            </w:tcBorders>
            <w:shd w:val="clear" w:color="000000" w:fill="EEECE1"/>
          </w:tcPr>
          <w:p w14:paraId="0E57D98F" w14:textId="77777777" w:rsidR="00796A6D" w:rsidRPr="00AC0018" w:rsidRDefault="00214993" w:rsidP="000C27B1">
            <w:pPr>
              <w:rPr>
                <w:rFonts w:ascii="Calibri" w:hAnsi="Calibri"/>
                <w:bCs/>
                <w:color w:val="A6A6A6" w:themeColor="background1" w:themeShade="A6"/>
                <w:sz w:val="16"/>
                <w:szCs w:val="16"/>
              </w:rPr>
            </w:pPr>
            <w:r w:rsidRPr="000936EF">
              <w:rPr>
                <w:rFonts w:ascii="Calibri" w:hAnsi="Calibri"/>
                <w:bCs/>
                <w:color w:val="808080" w:themeColor="background1" w:themeShade="80"/>
                <w:sz w:val="16"/>
                <w:szCs w:val="16"/>
              </w:rPr>
              <w:t>BIOPSY HANDLING</w:t>
            </w:r>
          </w:p>
        </w:tc>
        <w:tc>
          <w:tcPr>
            <w:tcW w:w="2835" w:type="dxa"/>
            <w:tcBorders>
              <w:top w:val="nil"/>
              <w:left w:val="nil"/>
              <w:bottom w:val="single" w:sz="4" w:space="0" w:color="auto"/>
              <w:right w:val="single" w:sz="4" w:space="0" w:color="auto"/>
            </w:tcBorders>
            <w:shd w:val="clear" w:color="auto" w:fill="auto"/>
          </w:tcPr>
          <w:p w14:paraId="0E57D990" w14:textId="77777777" w:rsidR="00BD7708" w:rsidRPr="000936EF" w:rsidRDefault="00BA6123" w:rsidP="007C3B13">
            <w:pPr>
              <w:pStyle w:val="ListParagraph"/>
              <w:numPr>
                <w:ilvl w:val="0"/>
                <w:numId w:val="3"/>
              </w:numPr>
              <w:spacing w:after="0" w:line="240" w:lineRule="auto"/>
              <w:ind w:left="176" w:hanging="142"/>
              <w:rPr>
                <w:rFonts w:ascii="Calibri" w:hAnsi="Calibri"/>
                <w:color w:val="808080" w:themeColor="background1" w:themeShade="80"/>
                <w:sz w:val="16"/>
                <w:szCs w:val="16"/>
              </w:rPr>
            </w:pPr>
            <w:r w:rsidRPr="000936EF">
              <w:rPr>
                <w:rFonts w:ascii="Calibri" w:hAnsi="Calibri"/>
                <w:color w:val="808080" w:themeColor="background1" w:themeShade="80"/>
                <w:sz w:val="16"/>
                <w:szCs w:val="16"/>
              </w:rPr>
              <w:t>No</w:t>
            </w:r>
            <w:r w:rsidR="00A36FBC" w:rsidRPr="000936EF">
              <w:rPr>
                <w:rFonts w:ascii="Calibri" w:hAnsi="Calibri"/>
                <w:color w:val="808080" w:themeColor="background1" w:themeShade="80"/>
                <w:sz w:val="16"/>
                <w:szCs w:val="16"/>
              </w:rPr>
              <w:t>t</w:t>
            </w:r>
            <w:r w:rsidRPr="000936EF">
              <w:rPr>
                <w:rFonts w:ascii="Calibri" w:hAnsi="Calibri"/>
                <w:color w:val="808080" w:themeColor="background1" w:themeShade="80"/>
                <w:sz w:val="16"/>
                <w:szCs w:val="16"/>
              </w:rPr>
              <w:t xml:space="preserve"> </w:t>
            </w:r>
            <w:r w:rsidR="00214993" w:rsidRPr="000936EF">
              <w:rPr>
                <w:rFonts w:ascii="Calibri" w:hAnsi="Calibri"/>
                <w:color w:val="808080" w:themeColor="background1" w:themeShade="80"/>
                <w:sz w:val="16"/>
                <w:szCs w:val="16"/>
              </w:rPr>
              <w:t>specified</w:t>
            </w:r>
          </w:p>
          <w:p w14:paraId="0E57D991" w14:textId="77777777" w:rsidR="00214993" w:rsidRPr="000936EF" w:rsidRDefault="00214993" w:rsidP="003D276B">
            <w:pPr>
              <w:pStyle w:val="ListParagraph"/>
              <w:numPr>
                <w:ilvl w:val="0"/>
                <w:numId w:val="7"/>
              </w:numPr>
              <w:spacing w:after="0" w:line="240" w:lineRule="auto"/>
              <w:ind w:left="176" w:hanging="142"/>
              <w:rPr>
                <w:rFonts w:ascii="Calibri" w:hAnsi="Calibri"/>
                <w:bCs/>
                <w:color w:val="808080" w:themeColor="background1" w:themeShade="80"/>
                <w:sz w:val="16"/>
                <w:szCs w:val="16"/>
              </w:rPr>
            </w:pPr>
            <w:r w:rsidRPr="000936EF">
              <w:rPr>
                <w:rFonts w:ascii="Calibri" w:hAnsi="Calibri"/>
                <w:bCs/>
                <w:color w:val="808080" w:themeColor="background1" w:themeShade="80"/>
                <w:sz w:val="16"/>
                <w:szCs w:val="16"/>
              </w:rPr>
              <w:t>Formalin fixed paraffin embedded (FFPE)</w:t>
            </w:r>
          </w:p>
          <w:p w14:paraId="0E57D992" w14:textId="77777777" w:rsidR="00214993" w:rsidRPr="000936EF" w:rsidRDefault="00214993" w:rsidP="003D276B">
            <w:pPr>
              <w:pStyle w:val="ListParagraph"/>
              <w:numPr>
                <w:ilvl w:val="0"/>
                <w:numId w:val="7"/>
              </w:numPr>
              <w:spacing w:after="0" w:line="240" w:lineRule="auto"/>
              <w:ind w:left="176" w:hanging="142"/>
              <w:rPr>
                <w:rFonts w:ascii="Calibri" w:hAnsi="Calibri"/>
                <w:bCs/>
                <w:i/>
                <w:color w:val="808080" w:themeColor="background1" w:themeShade="80"/>
                <w:sz w:val="16"/>
                <w:szCs w:val="16"/>
              </w:rPr>
            </w:pPr>
            <w:r w:rsidRPr="000936EF">
              <w:rPr>
                <w:rFonts w:ascii="Calibri" w:hAnsi="Calibri"/>
                <w:bCs/>
                <w:color w:val="808080" w:themeColor="background1" w:themeShade="80"/>
                <w:sz w:val="16"/>
                <w:szCs w:val="16"/>
              </w:rPr>
              <w:t>Fresh frozen</w:t>
            </w:r>
            <w:r w:rsidRPr="000936EF">
              <w:rPr>
                <w:rFonts w:ascii="Calibri" w:hAnsi="Calibri"/>
                <w:bCs/>
                <w:i/>
                <w:color w:val="808080" w:themeColor="background1" w:themeShade="80"/>
                <w:sz w:val="16"/>
                <w:szCs w:val="16"/>
              </w:rPr>
              <w:t>, specify if frozen section was performed</w:t>
            </w:r>
          </w:p>
          <w:p w14:paraId="0E57D993" w14:textId="77777777" w:rsidR="00BD7708" w:rsidRPr="00214993" w:rsidRDefault="00214993" w:rsidP="003D276B">
            <w:pPr>
              <w:pStyle w:val="ListParagraph"/>
              <w:numPr>
                <w:ilvl w:val="0"/>
                <w:numId w:val="7"/>
              </w:numPr>
              <w:spacing w:after="0" w:line="240" w:lineRule="auto"/>
              <w:ind w:left="176" w:hanging="142"/>
              <w:rPr>
                <w:rFonts w:ascii="Calibri" w:hAnsi="Calibri"/>
                <w:color w:val="A6A6A6" w:themeColor="background1" w:themeShade="A6"/>
                <w:sz w:val="16"/>
                <w:szCs w:val="16"/>
              </w:rPr>
            </w:pPr>
            <w:r w:rsidRPr="000936EF">
              <w:rPr>
                <w:rFonts w:ascii="Calibri" w:hAnsi="Calibri"/>
                <w:bCs/>
                <w:color w:val="808080" w:themeColor="background1" w:themeShade="80"/>
                <w:sz w:val="16"/>
                <w:szCs w:val="16"/>
              </w:rPr>
              <w:t xml:space="preserve">Decalcification, </w:t>
            </w:r>
            <w:r w:rsidRPr="000936EF">
              <w:rPr>
                <w:rFonts w:ascii="Calibri" w:hAnsi="Calibri"/>
                <w:bCs/>
                <w:i/>
                <w:color w:val="808080" w:themeColor="background1" w:themeShade="80"/>
                <w:sz w:val="16"/>
                <w:szCs w:val="16"/>
              </w:rPr>
              <w:t>specify type</w:t>
            </w:r>
          </w:p>
        </w:tc>
        <w:tc>
          <w:tcPr>
            <w:tcW w:w="8222" w:type="dxa"/>
            <w:tcBorders>
              <w:top w:val="nil"/>
              <w:left w:val="nil"/>
              <w:bottom w:val="single" w:sz="4" w:space="0" w:color="auto"/>
              <w:right w:val="single" w:sz="4" w:space="0" w:color="auto"/>
            </w:tcBorders>
            <w:shd w:val="clear" w:color="auto" w:fill="auto"/>
          </w:tcPr>
          <w:p w14:paraId="0E57D994" w14:textId="77777777" w:rsidR="00A80921" w:rsidRPr="00A80921" w:rsidRDefault="00D9147C" w:rsidP="00D9147C">
            <w:pPr>
              <w:pStyle w:val="CommentText"/>
              <w:spacing w:after="0"/>
              <w:rPr>
                <w:iCs/>
                <w:sz w:val="16"/>
                <w:szCs w:val="16"/>
              </w:rPr>
            </w:pPr>
            <w:r w:rsidRPr="00D9147C">
              <w:rPr>
                <w:sz w:val="16"/>
                <w:szCs w:val="16"/>
              </w:rPr>
              <w:t>Core needle biopsy is often performed under computerised tomography (CT) or ultrasound guidance, and preferably a minimum of three cores are submitted for diagnosis. A frozen section can be performed on a representative selection of cores or the tissue obtained at open biopsy, to evaluate whether the biopsy has yielded adequate tissue for diagnosis. Adequacy may also be determined by cytological rapid on-site evaluation (ROSE); the advantage of ROSE is that the biopsy core evaluated remains almost entirely intact, preserving tissue for other ancillary testing. Moreover, a provisional diagnosis can sometimes be given, and based on the results the remaining tissue can be triaged for further work-up. Bone tumours need decalcification before formalin fixed paraffin embedded (FFPE), which, depending on the type of decalcification used, may severely hamper the use of ancillary techniques. Decalcification should be done with solutions that preserve RNA and DNA, or a representative core should be kept frozen or embedded in paraffin without decalcification, to enable molecular testing. Acid-based decalcification should therefore be avoided if frozen tissue is unavailable.</w:t>
            </w:r>
          </w:p>
        </w:tc>
        <w:tc>
          <w:tcPr>
            <w:tcW w:w="1701" w:type="dxa"/>
            <w:tcBorders>
              <w:top w:val="nil"/>
              <w:left w:val="nil"/>
              <w:bottom w:val="single" w:sz="4" w:space="0" w:color="auto"/>
              <w:right w:val="single" w:sz="4" w:space="0" w:color="auto"/>
            </w:tcBorders>
            <w:shd w:val="clear" w:color="auto" w:fill="auto"/>
          </w:tcPr>
          <w:p w14:paraId="0E57D995" w14:textId="77777777" w:rsidR="00796A6D" w:rsidRPr="003D6838" w:rsidRDefault="00796A6D" w:rsidP="00A506AE">
            <w:pPr>
              <w:spacing w:after="0"/>
              <w:rPr>
                <w:rFonts w:ascii="Calibri" w:hAnsi="Calibri"/>
                <w:i/>
                <w:color w:val="000000"/>
                <w:sz w:val="16"/>
                <w:szCs w:val="16"/>
                <w:vertAlign w:val="superscript"/>
              </w:rPr>
            </w:pPr>
          </w:p>
        </w:tc>
      </w:tr>
      <w:tr w:rsidR="00A506AE" w:rsidRPr="00CC5E7C" w14:paraId="0E57D9C4" w14:textId="77777777" w:rsidTr="00E57012">
        <w:trPr>
          <w:trHeight w:val="895"/>
        </w:trPr>
        <w:tc>
          <w:tcPr>
            <w:tcW w:w="866" w:type="dxa"/>
            <w:tcBorders>
              <w:top w:val="nil"/>
              <w:left w:val="single" w:sz="4" w:space="0" w:color="auto"/>
              <w:bottom w:val="single" w:sz="4" w:space="0" w:color="auto"/>
              <w:right w:val="single" w:sz="4" w:space="0" w:color="auto"/>
            </w:tcBorders>
            <w:shd w:val="clear" w:color="000000" w:fill="EEECE1"/>
          </w:tcPr>
          <w:p w14:paraId="0E57D997" w14:textId="77777777" w:rsidR="00A506AE" w:rsidRDefault="00A506AE" w:rsidP="008916C4">
            <w:pPr>
              <w:spacing w:after="0"/>
              <w:rPr>
                <w:rFonts w:ascii="Calibri" w:hAnsi="Calibri"/>
                <w:color w:val="000000"/>
                <w:sz w:val="16"/>
                <w:szCs w:val="16"/>
              </w:rPr>
            </w:pPr>
            <w:r>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0E57D998" w14:textId="77777777" w:rsidR="00A506AE" w:rsidRPr="000C27B1" w:rsidRDefault="00FC4085" w:rsidP="000C27B1">
            <w:pPr>
              <w:rPr>
                <w:rFonts w:ascii="Calibri" w:hAnsi="Calibri"/>
                <w:bCs/>
                <w:color w:val="000000"/>
                <w:sz w:val="16"/>
                <w:szCs w:val="16"/>
              </w:rPr>
            </w:pPr>
            <w:r w:rsidRPr="00FC4085">
              <w:rPr>
                <w:rFonts w:ascii="Calibri" w:hAnsi="Calibri"/>
                <w:bCs/>
                <w:color w:val="000000"/>
                <w:sz w:val="16"/>
                <w:szCs w:val="16"/>
              </w:rPr>
              <w:t>HISTOLOGICAL TUMOUR TYPE</w:t>
            </w:r>
          </w:p>
        </w:tc>
        <w:tc>
          <w:tcPr>
            <w:tcW w:w="2835" w:type="dxa"/>
            <w:tcBorders>
              <w:top w:val="nil"/>
              <w:left w:val="nil"/>
              <w:bottom w:val="single" w:sz="4" w:space="0" w:color="auto"/>
              <w:right w:val="single" w:sz="4" w:space="0" w:color="auto"/>
            </w:tcBorders>
            <w:shd w:val="clear" w:color="auto" w:fill="auto"/>
          </w:tcPr>
          <w:p w14:paraId="0E57D999" w14:textId="77777777" w:rsidR="00C21F3F" w:rsidRDefault="00C21F3F" w:rsidP="00C21F3F">
            <w:pPr>
              <w:pStyle w:val="ListParagraph"/>
              <w:numPr>
                <w:ilvl w:val="0"/>
                <w:numId w:val="4"/>
              </w:numPr>
              <w:spacing w:after="0" w:line="240" w:lineRule="auto"/>
              <w:ind w:left="176" w:hanging="142"/>
              <w:rPr>
                <w:rFonts w:ascii="Calibri" w:hAnsi="Calibri"/>
                <w:color w:val="000000"/>
                <w:sz w:val="16"/>
                <w:szCs w:val="16"/>
              </w:rPr>
            </w:pPr>
            <w:r w:rsidRPr="00C21F3F">
              <w:rPr>
                <w:rFonts w:ascii="Calibri" w:hAnsi="Calibri"/>
                <w:color w:val="000000"/>
                <w:sz w:val="16"/>
                <w:szCs w:val="16"/>
              </w:rPr>
              <w:t>Atypical cartilaginous tumour</w:t>
            </w:r>
          </w:p>
          <w:p w14:paraId="0E57D99A" w14:textId="77777777" w:rsidR="00C21F3F" w:rsidRPr="00C21F3F" w:rsidRDefault="00C21F3F" w:rsidP="00C21F3F">
            <w:pPr>
              <w:pStyle w:val="ListParagraph"/>
              <w:numPr>
                <w:ilvl w:val="0"/>
                <w:numId w:val="4"/>
              </w:numPr>
              <w:spacing w:after="0" w:line="240" w:lineRule="auto"/>
              <w:ind w:left="176" w:hanging="142"/>
              <w:rPr>
                <w:rFonts w:ascii="Calibri" w:hAnsi="Calibri"/>
                <w:color w:val="000000"/>
                <w:sz w:val="16"/>
                <w:szCs w:val="16"/>
              </w:rPr>
            </w:pPr>
            <w:r w:rsidRPr="00C21F3F">
              <w:rPr>
                <w:rFonts w:ascii="Calibri" w:hAnsi="Calibri"/>
                <w:color w:val="000000"/>
                <w:sz w:val="16"/>
                <w:szCs w:val="16"/>
              </w:rPr>
              <w:t>Central chondrosarcoma</w:t>
            </w:r>
          </w:p>
          <w:p w14:paraId="0E57D99B" w14:textId="77777777" w:rsidR="00C21F3F" w:rsidRPr="00C21F3F" w:rsidRDefault="00C21F3F" w:rsidP="00C21F3F">
            <w:pPr>
              <w:pStyle w:val="ListParagraph"/>
              <w:numPr>
                <w:ilvl w:val="0"/>
                <w:numId w:val="4"/>
              </w:numPr>
              <w:spacing w:after="0" w:line="240" w:lineRule="auto"/>
              <w:ind w:left="176" w:hanging="142"/>
              <w:rPr>
                <w:rFonts w:ascii="Calibri" w:hAnsi="Calibri"/>
                <w:color w:val="000000"/>
                <w:sz w:val="16"/>
                <w:szCs w:val="16"/>
              </w:rPr>
            </w:pPr>
            <w:r w:rsidRPr="00C21F3F">
              <w:rPr>
                <w:rFonts w:ascii="Calibri" w:hAnsi="Calibri"/>
                <w:color w:val="000000"/>
                <w:sz w:val="16"/>
                <w:szCs w:val="16"/>
              </w:rPr>
              <w:t>Peripheral chondrosarcoma</w:t>
            </w:r>
          </w:p>
          <w:p w14:paraId="0E57D99C" w14:textId="77777777" w:rsidR="00C21F3F" w:rsidRPr="00C21F3F" w:rsidRDefault="00C21F3F" w:rsidP="00C21F3F">
            <w:pPr>
              <w:pStyle w:val="ListParagraph"/>
              <w:numPr>
                <w:ilvl w:val="0"/>
                <w:numId w:val="4"/>
              </w:numPr>
              <w:spacing w:after="0" w:line="240" w:lineRule="auto"/>
              <w:ind w:left="176" w:hanging="142"/>
              <w:rPr>
                <w:rFonts w:ascii="Calibri" w:hAnsi="Calibri"/>
                <w:color w:val="000000"/>
                <w:sz w:val="16"/>
                <w:szCs w:val="16"/>
              </w:rPr>
            </w:pPr>
            <w:r w:rsidRPr="00C21F3F">
              <w:rPr>
                <w:rFonts w:ascii="Calibri" w:hAnsi="Calibri"/>
                <w:color w:val="000000"/>
                <w:sz w:val="16"/>
                <w:szCs w:val="16"/>
              </w:rPr>
              <w:t>Periosteal chondrosarcoma</w:t>
            </w:r>
          </w:p>
          <w:p w14:paraId="0E57D99D" w14:textId="77777777" w:rsidR="00C21F3F" w:rsidRPr="00C21F3F" w:rsidRDefault="00C21F3F" w:rsidP="00C21F3F">
            <w:pPr>
              <w:pStyle w:val="ListParagraph"/>
              <w:numPr>
                <w:ilvl w:val="0"/>
                <w:numId w:val="4"/>
              </w:numPr>
              <w:spacing w:after="0" w:line="240" w:lineRule="auto"/>
              <w:ind w:left="176" w:hanging="142"/>
              <w:rPr>
                <w:rFonts w:ascii="Calibri" w:hAnsi="Calibri"/>
                <w:color w:val="000000"/>
                <w:sz w:val="16"/>
                <w:szCs w:val="16"/>
              </w:rPr>
            </w:pPr>
            <w:r w:rsidRPr="00C21F3F">
              <w:rPr>
                <w:rFonts w:ascii="Calibri" w:hAnsi="Calibri"/>
                <w:color w:val="000000"/>
                <w:sz w:val="16"/>
                <w:szCs w:val="16"/>
              </w:rPr>
              <w:t>Clear cell chondrosarcoma</w:t>
            </w:r>
          </w:p>
          <w:p w14:paraId="0E57D99E" w14:textId="77777777" w:rsidR="00C21F3F" w:rsidRPr="00C21F3F" w:rsidRDefault="00C21F3F" w:rsidP="00C21F3F">
            <w:pPr>
              <w:pStyle w:val="ListParagraph"/>
              <w:numPr>
                <w:ilvl w:val="0"/>
                <w:numId w:val="4"/>
              </w:numPr>
              <w:spacing w:after="0" w:line="240" w:lineRule="auto"/>
              <w:ind w:left="176" w:hanging="142"/>
              <w:rPr>
                <w:rFonts w:ascii="Calibri" w:hAnsi="Calibri"/>
                <w:color w:val="000000"/>
                <w:sz w:val="16"/>
                <w:szCs w:val="16"/>
              </w:rPr>
            </w:pPr>
            <w:r w:rsidRPr="00C21F3F">
              <w:rPr>
                <w:rFonts w:ascii="Calibri" w:hAnsi="Calibri"/>
                <w:color w:val="000000"/>
                <w:sz w:val="16"/>
                <w:szCs w:val="16"/>
              </w:rPr>
              <w:t>Mesenchymal chondrosarcoma</w:t>
            </w:r>
          </w:p>
          <w:p w14:paraId="0E57D99F" w14:textId="77777777" w:rsidR="00C21F3F" w:rsidRPr="00C21F3F" w:rsidRDefault="00C21F3F" w:rsidP="00C21F3F">
            <w:pPr>
              <w:pStyle w:val="ListParagraph"/>
              <w:numPr>
                <w:ilvl w:val="0"/>
                <w:numId w:val="4"/>
              </w:numPr>
              <w:spacing w:after="0" w:line="240" w:lineRule="auto"/>
              <w:ind w:left="176" w:hanging="142"/>
              <w:rPr>
                <w:rFonts w:ascii="Calibri" w:hAnsi="Calibri"/>
                <w:color w:val="000000"/>
                <w:sz w:val="16"/>
                <w:szCs w:val="16"/>
              </w:rPr>
            </w:pPr>
            <w:r w:rsidRPr="00C21F3F">
              <w:rPr>
                <w:rFonts w:ascii="Calibri" w:hAnsi="Calibri"/>
                <w:color w:val="000000"/>
                <w:sz w:val="16"/>
                <w:szCs w:val="16"/>
              </w:rPr>
              <w:t>Dedifferentiated chondrosarcoma</w:t>
            </w:r>
          </w:p>
          <w:p w14:paraId="0E57D9A0" w14:textId="77777777" w:rsidR="00C21F3F" w:rsidRPr="00C21F3F" w:rsidRDefault="00C21F3F" w:rsidP="00C21F3F">
            <w:pPr>
              <w:pStyle w:val="ListParagraph"/>
              <w:numPr>
                <w:ilvl w:val="0"/>
                <w:numId w:val="4"/>
              </w:numPr>
              <w:spacing w:after="0" w:line="240" w:lineRule="auto"/>
              <w:ind w:left="176" w:hanging="142"/>
              <w:rPr>
                <w:rFonts w:ascii="Calibri" w:hAnsi="Calibri"/>
                <w:color w:val="000000"/>
                <w:sz w:val="16"/>
                <w:szCs w:val="16"/>
              </w:rPr>
            </w:pPr>
            <w:r w:rsidRPr="00C21F3F">
              <w:rPr>
                <w:rFonts w:ascii="Calibri" w:hAnsi="Calibri"/>
                <w:color w:val="000000"/>
                <w:sz w:val="16"/>
                <w:szCs w:val="16"/>
              </w:rPr>
              <w:t>Low</w:t>
            </w:r>
            <w:r w:rsidR="007751EF">
              <w:rPr>
                <w:rFonts w:ascii="Calibri" w:hAnsi="Calibri"/>
                <w:color w:val="000000"/>
                <w:sz w:val="16"/>
                <w:szCs w:val="16"/>
              </w:rPr>
              <w:t xml:space="preserve"> </w:t>
            </w:r>
            <w:r w:rsidRPr="00C21F3F">
              <w:rPr>
                <w:rFonts w:ascii="Calibri" w:hAnsi="Calibri"/>
                <w:color w:val="000000"/>
                <w:sz w:val="16"/>
                <w:szCs w:val="16"/>
              </w:rPr>
              <w:t>grade central osteosarcoma</w:t>
            </w:r>
          </w:p>
          <w:p w14:paraId="0E57D9A1" w14:textId="77777777" w:rsidR="00C21F3F" w:rsidRPr="00C21F3F" w:rsidRDefault="00C21F3F" w:rsidP="00C21F3F">
            <w:pPr>
              <w:pStyle w:val="ListParagraph"/>
              <w:numPr>
                <w:ilvl w:val="0"/>
                <w:numId w:val="4"/>
              </w:numPr>
              <w:spacing w:after="0" w:line="240" w:lineRule="auto"/>
              <w:ind w:left="176" w:hanging="142"/>
              <w:rPr>
                <w:rFonts w:ascii="Calibri" w:hAnsi="Calibri"/>
                <w:color w:val="000000"/>
                <w:sz w:val="16"/>
                <w:szCs w:val="16"/>
              </w:rPr>
            </w:pPr>
            <w:r w:rsidRPr="00C21F3F">
              <w:rPr>
                <w:rFonts w:ascii="Calibri" w:hAnsi="Calibri"/>
                <w:color w:val="000000"/>
                <w:sz w:val="16"/>
                <w:szCs w:val="16"/>
              </w:rPr>
              <w:t xml:space="preserve">Osteosarcoma (conventional, </w:t>
            </w:r>
            <w:proofErr w:type="spellStart"/>
            <w:r w:rsidRPr="00C21F3F">
              <w:rPr>
                <w:rFonts w:ascii="Calibri" w:hAnsi="Calibri"/>
                <w:color w:val="000000"/>
                <w:sz w:val="16"/>
                <w:szCs w:val="16"/>
              </w:rPr>
              <w:t>teleangiectatic</w:t>
            </w:r>
            <w:proofErr w:type="spellEnd"/>
            <w:r w:rsidRPr="00C21F3F">
              <w:rPr>
                <w:rFonts w:ascii="Calibri" w:hAnsi="Calibri"/>
                <w:color w:val="000000"/>
                <w:sz w:val="16"/>
                <w:szCs w:val="16"/>
              </w:rPr>
              <w:t>, or small cell)</w:t>
            </w:r>
          </w:p>
          <w:p w14:paraId="0E57D9A2" w14:textId="77777777" w:rsidR="00C21F3F" w:rsidRPr="00C21F3F" w:rsidRDefault="00C21F3F" w:rsidP="00C21F3F">
            <w:pPr>
              <w:pStyle w:val="ListParagraph"/>
              <w:numPr>
                <w:ilvl w:val="0"/>
                <w:numId w:val="4"/>
              </w:numPr>
              <w:spacing w:after="0" w:line="240" w:lineRule="auto"/>
              <w:ind w:left="176" w:hanging="142"/>
              <w:rPr>
                <w:rFonts w:ascii="Calibri" w:hAnsi="Calibri"/>
                <w:color w:val="000000"/>
                <w:sz w:val="16"/>
                <w:szCs w:val="16"/>
              </w:rPr>
            </w:pPr>
            <w:proofErr w:type="spellStart"/>
            <w:r w:rsidRPr="00C21F3F">
              <w:rPr>
                <w:rFonts w:ascii="Calibri" w:hAnsi="Calibri"/>
                <w:color w:val="000000"/>
                <w:sz w:val="16"/>
                <w:szCs w:val="16"/>
              </w:rPr>
              <w:t>Parosteal</w:t>
            </w:r>
            <w:proofErr w:type="spellEnd"/>
            <w:r w:rsidRPr="00C21F3F">
              <w:rPr>
                <w:rFonts w:ascii="Calibri" w:hAnsi="Calibri"/>
                <w:color w:val="000000"/>
                <w:sz w:val="16"/>
                <w:szCs w:val="16"/>
              </w:rPr>
              <w:t xml:space="preserve"> osteosarcoma</w:t>
            </w:r>
          </w:p>
          <w:p w14:paraId="0E57D9A3" w14:textId="77777777" w:rsidR="00C21F3F" w:rsidRPr="00C21F3F" w:rsidRDefault="00C21F3F" w:rsidP="00C21F3F">
            <w:pPr>
              <w:pStyle w:val="ListParagraph"/>
              <w:numPr>
                <w:ilvl w:val="0"/>
                <w:numId w:val="4"/>
              </w:numPr>
              <w:spacing w:after="0" w:line="240" w:lineRule="auto"/>
              <w:ind w:left="176" w:hanging="142"/>
              <w:rPr>
                <w:rFonts w:ascii="Calibri" w:hAnsi="Calibri"/>
                <w:color w:val="000000"/>
                <w:sz w:val="16"/>
                <w:szCs w:val="16"/>
              </w:rPr>
            </w:pPr>
            <w:r w:rsidRPr="00C21F3F">
              <w:rPr>
                <w:rFonts w:ascii="Calibri" w:hAnsi="Calibri"/>
                <w:color w:val="000000"/>
                <w:sz w:val="16"/>
                <w:szCs w:val="16"/>
              </w:rPr>
              <w:t>Periosteal osteosarcoma</w:t>
            </w:r>
          </w:p>
          <w:p w14:paraId="0E57D9A4" w14:textId="77777777" w:rsidR="00C21F3F" w:rsidRPr="00C21F3F" w:rsidRDefault="007751EF" w:rsidP="00C21F3F">
            <w:pPr>
              <w:pStyle w:val="ListParagraph"/>
              <w:numPr>
                <w:ilvl w:val="0"/>
                <w:numId w:val="4"/>
              </w:numPr>
              <w:spacing w:after="0" w:line="240" w:lineRule="auto"/>
              <w:ind w:left="176" w:hanging="142"/>
              <w:rPr>
                <w:rFonts w:ascii="Calibri" w:hAnsi="Calibri"/>
                <w:color w:val="000000"/>
                <w:sz w:val="16"/>
                <w:szCs w:val="16"/>
              </w:rPr>
            </w:pPr>
            <w:r>
              <w:rPr>
                <w:rFonts w:ascii="Calibri" w:hAnsi="Calibri"/>
                <w:color w:val="000000"/>
                <w:sz w:val="16"/>
                <w:szCs w:val="16"/>
              </w:rPr>
              <w:t xml:space="preserve">High </w:t>
            </w:r>
            <w:r w:rsidR="00C21F3F" w:rsidRPr="00C21F3F">
              <w:rPr>
                <w:rFonts w:ascii="Calibri" w:hAnsi="Calibri"/>
                <w:color w:val="000000"/>
                <w:sz w:val="16"/>
                <w:szCs w:val="16"/>
              </w:rPr>
              <w:t>grade surface osteosarcoma</w:t>
            </w:r>
          </w:p>
          <w:p w14:paraId="0E57D9A5" w14:textId="77777777" w:rsidR="00C21F3F" w:rsidRPr="00C21F3F" w:rsidRDefault="00C21F3F" w:rsidP="00C21F3F">
            <w:pPr>
              <w:pStyle w:val="ListParagraph"/>
              <w:numPr>
                <w:ilvl w:val="0"/>
                <w:numId w:val="4"/>
              </w:numPr>
              <w:spacing w:after="0" w:line="240" w:lineRule="auto"/>
              <w:ind w:left="176" w:hanging="142"/>
              <w:rPr>
                <w:rFonts w:ascii="Calibri" w:hAnsi="Calibri"/>
                <w:color w:val="000000"/>
                <w:sz w:val="16"/>
                <w:szCs w:val="16"/>
              </w:rPr>
            </w:pPr>
            <w:r w:rsidRPr="00C21F3F">
              <w:rPr>
                <w:rFonts w:ascii="Calibri" w:hAnsi="Calibri"/>
                <w:color w:val="000000"/>
                <w:sz w:val="16"/>
                <w:szCs w:val="16"/>
              </w:rPr>
              <w:t>Secondary osteosarcoma</w:t>
            </w:r>
          </w:p>
          <w:p w14:paraId="0E57D9A6" w14:textId="77777777" w:rsidR="00C21F3F" w:rsidRPr="00C21F3F" w:rsidRDefault="00C21F3F" w:rsidP="00C21F3F">
            <w:pPr>
              <w:pStyle w:val="ListParagraph"/>
              <w:numPr>
                <w:ilvl w:val="0"/>
                <w:numId w:val="4"/>
              </w:numPr>
              <w:spacing w:after="0" w:line="240" w:lineRule="auto"/>
              <w:ind w:left="176" w:hanging="142"/>
              <w:rPr>
                <w:rFonts w:ascii="Calibri" w:hAnsi="Calibri"/>
                <w:color w:val="000000"/>
                <w:sz w:val="16"/>
                <w:szCs w:val="16"/>
              </w:rPr>
            </w:pPr>
            <w:r w:rsidRPr="00C21F3F">
              <w:rPr>
                <w:rFonts w:ascii="Calibri" w:hAnsi="Calibri"/>
                <w:color w:val="000000"/>
                <w:sz w:val="16"/>
                <w:szCs w:val="16"/>
              </w:rPr>
              <w:t xml:space="preserve">Fibrosarcoma </w:t>
            </w:r>
          </w:p>
          <w:p w14:paraId="0E57D9A7" w14:textId="77777777" w:rsidR="00C21F3F" w:rsidRPr="00C21F3F" w:rsidRDefault="00C21F3F" w:rsidP="00C21F3F">
            <w:pPr>
              <w:pStyle w:val="ListParagraph"/>
              <w:numPr>
                <w:ilvl w:val="0"/>
                <w:numId w:val="4"/>
              </w:numPr>
              <w:spacing w:after="0" w:line="240" w:lineRule="auto"/>
              <w:ind w:left="176" w:hanging="142"/>
              <w:rPr>
                <w:rFonts w:ascii="Calibri" w:hAnsi="Calibri"/>
                <w:color w:val="000000"/>
                <w:sz w:val="16"/>
                <w:szCs w:val="16"/>
              </w:rPr>
            </w:pPr>
            <w:r w:rsidRPr="00C21F3F">
              <w:rPr>
                <w:rFonts w:ascii="Calibri" w:hAnsi="Calibri"/>
                <w:color w:val="000000"/>
                <w:sz w:val="16"/>
                <w:szCs w:val="16"/>
              </w:rPr>
              <w:t>Epithelioid haemangioendothelioma</w:t>
            </w:r>
          </w:p>
          <w:p w14:paraId="0E57D9A8" w14:textId="77777777" w:rsidR="00C21F3F" w:rsidRPr="00C21F3F" w:rsidRDefault="00C21F3F" w:rsidP="00C21F3F">
            <w:pPr>
              <w:pStyle w:val="ListParagraph"/>
              <w:numPr>
                <w:ilvl w:val="0"/>
                <w:numId w:val="4"/>
              </w:numPr>
              <w:spacing w:after="0" w:line="240" w:lineRule="auto"/>
              <w:ind w:left="176" w:hanging="142"/>
              <w:rPr>
                <w:rFonts w:ascii="Calibri" w:hAnsi="Calibri"/>
                <w:color w:val="000000"/>
                <w:sz w:val="16"/>
                <w:szCs w:val="16"/>
              </w:rPr>
            </w:pPr>
            <w:r w:rsidRPr="00C21F3F">
              <w:rPr>
                <w:rFonts w:ascii="Calibri" w:hAnsi="Calibri"/>
                <w:color w:val="000000"/>
                <w:sz w:val="16"/>
                <w:szCs w:val="16"/>
              </w:rPr>
              <w:t>Angiosarcoma</w:t>
            </w:r>
          </w:p>
          <w:p w14:paraId="0E57D9A9" w14:textId="77777777" w:rsidR="00C21F3F" w:rsidRPr="00C21F3F" w:rsidRDefault="00C21F3F" w:rsidP="00C21F3F">
            <w:pPr>
              <w:pStyle w:val="ListParagraph"/>
              <w:numPr>
                <w:ilvl w:val="0"/>
                <w:numId w:val="4"/>
              </w:numPr>
              <w:spacing w:after="0" w:line="240" w:lineRule="auto"/>
              <w:ind w:left="176" w:hanging="142"/>
              <w:rPr>
                <w:rFonts w:ascii="Calibri" w:hAnsi="Calibri"/>
                <w:color w:val="000000"/>
                <w:sz w:val="16"/>
                <w:szCs w:val="16"/>
              </w:rPr>
            </w:pPr>
            <w:r w:rsidRPr="00C21F3F">
              <w:rPr>
                <w:rFonts w:ascii="Calibri" w:hAnsi="Calibri"/>
                <w:color w:val="000000"/>
                <w:sz w:val="16"/>
                <w:szCs w:val="16"/>
              </w:rPr>
              <w:t>Giant cell tumour of bone</w:t>
            </w:r>
          </w:p>
          <w:p w14:paraId="0E57D9AA" w14:textId="77777777" w:rsidR="00C21F3F" w:rsidRPr="00C21F3F" w:rsidRDefault="00C21F3F" w:rsidP="00C21F3F">
            <w:pPr>
              <w:pStyle w:val="ListParagraph"/>
              <w:numPr>
                <w:ilvl w:val="0"/>
                <w:numId w:val="4"/>
              </w:numPr>
              <w:spacing w:after="0" w:line="240" w:lineRule="auto"/>
              <w:ind w:left="176" w:hanging="142"/>
              <w:rPr>
                <w:rFonts w:ascii="Calibri" w:hAnsi="Calibri"/>
                <w:color w:val="000000"/>
                <w:sz w:val="16"/>
                <w:szCs w:val="16"/>
              </w:rPr>
            </w:pPr>
            <w:r w:rsidRPr="00C21F3F">
              <w:rPr>
                <w:rFonts w:ascii="Calibri" w:hAnsi="Calibri"/>
                <w:color w:val="000000"/>
                <w:sz w:val="16"/>
                <w:szCs w:val="16"/>
              </w:rPr>
              <w:t>Giant cell tumour of bone, malignant</w:t>
            </w:r>
          </w:p>
          <w:p w14:paraId="0E57D9AB" w14:textId="77777777" w:rsidR="00C21F3F" w:rsidRPr="00C21F3F" w:rsidRDefault="00C21F3F" w:rsidP="00C21F3F">
            <w:pPr>
              <w:pStyle w:val="ListParagraph"/>
              <w:numPr>
                <w:ilvl w:val="0"/>
                <w:numId w:val="4"/>
              </w:numPr>
              <w:spacing w:after="0" w:line="240" w:lineRule="auto"/>
              <w:ind w:left="176" w:hanging="142"/>
              <w:rPr>
                <w:rFonts w:ascii="Calibri" w:hAnsi="Calibri"/>
                <w:color w:val="000000"/>
                <w:sz w:val="16"/>
                <w:szCs w:val="16"/>
              </w:rPr>
            </w:pPr>
            <w:r w:rsidRPr="00C21F3F">
              <w:rPr>
                <w:rFonts w:ascii="Calibri" w:hAnsi="Calibri"/>
                <w:color w:val="000000"/>
                <w:sz w:val="16"/>
                <w:szCs w:val="16"/>
              </w:rPr>
              <w:t>Conventional chordoma (including chondroid)</w:t>
            </w:r>
          </w:p>
          <w:p w14:paraId="0E57D9AC" w14:textId="77777777" w:rsidR="00C21F3F" w:rsidRPr="00C21F3F" w:rsidRDefault="00C21F3F" w:rsidP="00C21F3F">
            <w:pPr>
              <w:pStyle w:val="ListParagraph"/>
              <w:numPr>
                <w:ilvl w:val="0"/>
                <w:numId w:val="4"/>
              </w:numPr>
              <w:spacing w:after="0" w:line="240" w:lineRule="auto"/>
              <w:ind w:left="176" w:hanging="142"/>
              <w:rPr>
                <w:rFonts w:ascii="Calibri" w:hAnsi="Calibri"/>
                <w:color w:val="000000"/>
                <w:sz w:val="16"/>
                <w:szCs w:val="16"/>
              </w:rPr>
            </w:pPr>
            <w:r w:rsidRPr="00C21F3F">
              <w:rPr>
                <w:rFonts w:ascii="Calibri" w:hAnsi="Calibri"/>
                <w:color w:val="000000"/>
                <w:sz w:val="16"/>
                <w:szCs w:val="16"/>
              </w:rPr>
              <w:t>Poorly differentiated chordoma</w:t>
            </w:r>
          </w:p>
          <w:p w14:paraId="0E57D9AD" w14:textId="77777777" w:rsidR="00C21F3F" w:rsidRPr="00C21F3F" w:rsidRDefault="00C21F3F" w:rsidP="00C21F3F">
            <w:pPr>
              <w:pStyle w:val="ListParagraph"/>
              <w:numPr>
                <w:ilvl w:val="0"/>
                <w:numId w:val="4"/>
              </w:numPr>
              <w:spacing w:after="0" w:line="240" w:lineRule="auto"/>
              <w:ind w:left="176" w:hanging="142"/>
              <w:rPr>
                <w:rFonts w:ascii="Calibri" w:hAnsi="Calibri"/>
                <w:color w:val="000000"/>
                <w:sz w:val="16"/>
                <w:szCs w:val="16"/>
              </w:rPr>
            </w:pPr>
            <w:r w:rsidRPr="00C21F3F">
              <w:rPr>
                <w:rFonts w:ascii="Calibri" w:hAnsi="Calibri"/>
                <w:color w:val="000000"/>
                <w:sz w:val="16"/>
                <w:szCs w:val="16"/>
              </w:rPr>
              <w:t>Dedifferentiated chordoma</w:t>
            </w:r>
          </w:p>
          <w:p w14:paraId="0E57D9AE" w14:textId="77777777" w:rsidR="00C21F3F" w:rsidRPr="00C21F3F" w:rsidRDefault="00C21F3F" w:rsidP="00C21F3F">
            <w:pPr>
              <w:pStyle w:val="ListParagraph"/>
              <w:numPr>
                <w:ilvl w:val="0"/>
                <w:numId w:val="4"/>
              </w:numPr>
              <w:spacing w:after="0" w:line="240" w:lineRule="auto"/>
              <w:ind w:left="176" w:hanging="142"/>
              <w:rPr>
                <w:rFonts w:ascii="Calibri" w:hAnsi="Calibri"/>
                <w:color w:val="000000"/>
                <w:sz w:val="16"/>
                <w:szCs w:val="16"/>
              </w:rPr>
            </w:pPr>
            <w:r w:rsidRPr="00C21F3F">
              <w:rPr>
                <w:rFonts w:ascii="Calibri" w:hAnsi="Calibri"/>
                <w:color w:val="000000"/>
                <w:sz w:val="16"/>
                <w:szCs w:val="16"/>
              </w:rPr>
              <w:t>Adamantinoma of long bones</w:t>
            </w:r>
          </w:p>
          <w:p w14:paraId="0E57D9AF" w14:textId="77777777" w:rsidR="00C21F3F" w:rsidRPr="00C21F3F" w:rsidRDefault="00C21F3F" w:rsidP="00C21F3F">
            <w:pPr>
              <w:pStyle w:val="ListParagraph"/>
              <w:numPr>
                <w:ilvl w:val="0"/>
                <w:numId w:val="4"/>
              </w:numPr>
              <w:spacing w:after="0" w:line="240" w:lineRule="auto"/>
              <w:ind w:left="176" w:hanging="142"/>
              <w:rPr>
                <w:rFonts w:ascii="Calibri" w:hAnsi="Calibri"/>
                <w:color w:val="000000"/>
                <w:sz w:val="16"/>
                <w:szCs w:val="16"/>
              </w:rPr>
            </w:pPr>
            <w:r w:rsidRPr="00C21F3F">
              <w:rPr>
                <w:rFonts w:ascii="Calibri" w:hAnsi="Calibri"/>
                <w:color w:val="000000"/>
                <w:sz w:val="16"/>
                <w:szCs w:val="16"/>
              </w:rPr>
              <w:t>Leiomyosarcoma of bone</w:t>
            </w:r>
          </w:p>
          <w:p w14:paraId="0E57D9B0" w14:textId="77777777" w:rsidR="00C21F3F" w:rsidRPr="00C21F3F" w:rsidRDefault="00C21F3F" w:rsidP="00C21F3F">
            <w:pPr>
              <w:pStyle w:val="ListParagraph"/>
              <w:numPr>
                <w:ilvl w:val="0"/>
                <w:numId w:val="4"/>
              </w:numPr>
              <w:spacing w:after="0" w:line="240" w:lineRule="auto"/>
              <w:ind w:left="176" w:hanging="142"/>
              <w:rPr>
                <w:rFonts w:ascii="Calibri" w:hAnsi="Calibri"/>
                <w:color w:val="000000"/>
                <w:sz w:val="16"/>
                <w:szCs w:val="16"/>
              </w:rPr>
            </w:pPr>
            <w:r w:rsidRPr="00C21F3F">
              <w:rPr>
                <w:rFonts w:ascii="Calibri" w:hAnsi="Calibri"/>
                <w:color w:val="000000"/>
                <w:sz w:val="16"/>
                <w:szCs w:val="16"/>
              </w:rPr>
              <w:t>Undifferentiated pleomorphic sarcoma</w:t>
            </w:r>
          </w:p>
          <w:p w14:paraId="0E57D9B1" w14:textId="77777777" w:rsidR="00C21F3F" w:rsidRPr="00C21F3F" w:rsidRDefault="00C21F3F" w:rsidP="00C21F3F">
            <w:pPr>
              <w:pStyle w:val="ListParagraph"/>
              <w:numPr>
                <w:ilvl w:val="0"/>
                <w:numId w:val="4"/>
              </w:numPr>
              <w:spacing w:after="0" w:line="240" w:lineRule="auto"/>
              <w:ind w:left="176" w:hanging="142"/>
              <w:rPr>
                <w:rFonts w:ascii="Calibri" w:hAnsi="Calibri"/>
                <w:color w:val="000000"/>
                <w:sz w:val="16"/>
                <w:szCs w:val="16"/>
              </w:rPr>
            </w:pPr>
            <w:r w:rsidRPr="00C21F3F">
              <w:rPr>
                <w:rFonts w:ascii="Calibri" w:hAnsi="Calibri"/>
                <w:color w:val="000000"/>
                <w:sz w:val="16"/>
                <w:szCs w:val="16"/>
              </w:rPr>
              <w:lastRenderedPageBreak/>
              <w:t>Ewing sarcoma</w:t>
            </w:r>
          </w:p>
          <w:p w14:paraId="0E57D9B2" w14:textId="77777777" w:rsidR="00C21F3F" w:rsidRPr="00C21F3F" w:rsidRDefault="00C21F3F" w:rsidP="00C21F3F">
            <w:pPr>
              <w:pStyle w:val="ListParagraph"/>
              <w:numPr>
                <w:ilvl w:val="0"/>
                <w:numId w:val="4"/>
              </w:numPr>
              <w:spacing w:after="0" w:line="240" w:lineRule="auto"/>
              <w:ind w:left="176" w:hanging="142"/>
              <w:rPr>
                <w:rFonts w:ascii="Calibri" w:hAnsi="Calibri"/>
                <w:color w:val="000000"/>
                <w:sz w:val="16"/>
                <w:szCs w:val="16"/>
              </w:rPr>
            </w:pPr>
            <w:r w:rsidRPr="00C21F3F">
              <w:rPr>
                <w:rFonts w:ascii="Calibri" w:hAnsi="Calibri"/>
                <w:color w:val="000000"/>
                <w:sz w:val="16"/>
                <w:szCs w:val="16"/>
              </w:rPr>
              <w:t xml:space="preserve">Round cell sarcoma with </w:t>
            </w:r>
            <w:r w:rsidRPr="00C21F3F">
              <w:rPr>
                <w:rFonts w:ascii="Calibri" w:hAnsi="Calibri"/>
                <w:i/>
                <w:iCs/>
                <w:color w:val="000000"/>
                <w:sz w:val="16"/>
                <w:szCs w:val="16"/>
              </w:rPr>
              <w:t>EWSR1</w:t>
            </w:r>
            <w:r w:rsidRPr="00C21F3F">
              <w:rPr>
                <w:rFonts w:ascii="Calibri" w:hAnsi="Calibri"/>
                <w:color w:val="000000"/>
                <w:sz w:val="16"/>
                <w:szCs w:val="16"/>
              </w:rPr>
              <w:t>-non ETS fusions</w:t>
            </w:r>
          </w:p>
          <w:p w14:paraId="0E57D9B3" w14:textId="77777777" w:rsidR="00A506AE" w:rsidRDefault="00C21F3F" w:rsidP="00C21F3F">
            <w:pPr>
              <w:pStyle w:val="ListParagraph"/>
              <w:numPr>
                <w:ilvl w:val="0"/>
                <w:numId w:val="4"/>
              </w:numPr>
              <w:autoSpaceDE w:val="0"/>
              <w:autoSpaceDN w:val="0"/>
              <w:adjustRightInd w:val="0"/>
              <w:spacing w:after="0" w:line="240" w:lineRule="auto"/>
              <w:ind w:left="176" w:hanging="142"/>
              <w:rPr>
                <w:rFonts w:ascii="Calibri" w:hAnsi="Calibri"/>
                <w:color w:val="000000"/>
                <w:sz w:val="16"/>
                <w:szCs w:val="16"/>
              </w:rPr>
            </w:pPr>
            <w:r w:rsidRPr="00C21F3F">
              <w:rPr>
                <w:rFonts w:ascii="Calibri" w:hAnsi="Calibri"/>
                <w:color w:val="000000"/>
                <w:sz w:val="16"/>
                <w:szCs w:val="16"/>
              </w:rPr>
              <w:t xml:space="preserve">Sarcoma with </w:t>
            </w:r>
            <w:r w:rsidRPr="00C21F3F">
              <w:rPr>
                <w:rFonts w:ascii="Calibri" w:hAnsi="Calibri"/>
                <w:i/>
                <w:iCs/>
                <w:color w:val="000000"/>
                <w:sz w:val="16"/>
                <w:szCs w:val="16"/>
              </w:rPr>
              <w:t xml:space="preserve">BCOR </w:t>
            </w:r>
            <w:r w:rsidRPr="00C21F3F">
              <w:rPr>
                <w:rFonts w:ascii="Calibri" w:hAnsi="Calibri"/>
                <w:color w:val="000000"/>
                <w:sz w:val="16"/>
                <w:szCs w:val="16"/>
              </w:rPr>
              <w:t>genetic alterations</w:t>
            </w:r>
          </w:p>
          <w:p w14:paraId="0E57D9B4" w14:textId="77777777" w:rsidR="00C21F3F" w:rsidRPr="00C21F3F" w:rsidRDefault="00C21F3F" w:rsidP="00C21F3F">
            <w:pPr>
              <w:pStyle w:val="ListParagraph"/>
              <w:numPr>
                <w:ilvl w:val="0"/>
                <w:numId w:val="4"/>
              </w:numPr>
              <w:autoSpaceDE w:val="0"/>
              <w:autoSpaceDN w:val="0"/>
              <w:adjustRightInd w:val="0"/>
              <w:spacing w:after="0" w:line="240" w:lineRule="auto"/>
              <w:ind w:left="176" w:hanging="142"/>
              <w:rPr>
                <w:rFonts w:ascii="Calibri" w:hAnsi="Calibri"/>
                <w:color w:val="000000"/>
                <w:sz w:val="16"/>
                <w:szCs w:val="16"/>
              </w:rPr>
            </w:pPr>
            <w:r w:rsidRPr="00C21F3F">
              <w:rPr>
                <w:rFonts w:ascii="Calibri" w:hAnsi="Calibri"/>
                <w:color w:val="000000"/>
                <w:sz w:val="16"/>
                <w:szCs w:val="16"/>
              </w:rPr>
              <w:t xml:space="preserve">Other, </w:t>
            </w:r>
            <w:r w:rsidRPr="00C21F3F">
              <w:rPr>
                <w:rFonts w:ascii="Calibri" w:hAnsi="Calibri"/>
                <w:i/>
                <w:iCs/>
                <w:color w:val="000000"/>
                <w:sz w:val="16"/>
                <w:szCs w:val="16"/>
              </w:rPr>
              <w:t>specify</w:t>
            </w:r>
          </w:p>
          <w:p w14:paraId="0E57D9B5" w14:textId="77777777" w:rsidR="00C21F3F" w:rsidRDefault="00C21F3F" w:rsidP="00C21F3F">
            <w:pPr>
              <w:pStyle w:val="ListParagraph"/>
              <w:numPr>
                <w:ilvl w:val="0"/>
                <w:numId w:val="4"/>
              </w:numPr>
              <w:autoSpaceDE w:val="0"/>
              <w:autoSpaceDN w:val="0"/>
              <w:adjustRightInd w:val="0"/>
              <w:spacing w:after="0" w:line="240" w:lineRule="auto"/>
              <w:ind w:left="176" w:hanging="142"/>
              <w:rPr>
                <w:rFonts w:ascii="Calibri" w:hAnsi="Calibri"/>
                <w:color w:val="000000"/>
                <w:sz w:val="16"/>
                <w:szCs w:val="16"/>
              </w:rPr>
            </w:pPr>
            <w:r w:rsidRPr="00C21F3F">
              <w:rPr>
                <w:rFonts w:ascii="Calibri" w:hAnsi="Calibri"/>
                <w:color w:val="000000"/>
                <w:sz w:val="16"/>
                <w:szCs w:val="16"/>
              </w:rPr>
              <w:t xml:space="preserve">Indeterminate, </w:t>
            </w:r>
            <w:r w:rsidRPr="00C21F3F">
              <w:rPr>
                <w:rFonts w:ascii="Calibri" w:hAnsi="Calibri"/>
                <w:i/>
                <w:color w:val="000000"/>
                <w:sz w:val="16"/>
                <w:szCs w:val="16"/>
              </w:rPr>
              <w:t>specify</w:t>
            </w:r>
          </w:p>
          <w:p w14:paraId="0E57D9B6" w14:textId="77777777" w:rsidR="00C21F3F" w:rsidRDefault="00C21F3F" w:rsidP="00C21F3F">
            <w:pPr>
              <w:pStyle w:val="ListParagraph"/>
              <w:autoSpaceDE w:val="0"/>
              <w:autoSpaceDN w:val="0"/>
              <w:adjustRightInd w:val="0"/>
              <w:spacing w:after="0" w:line="240" w:lineRule="auto"/>
              <w:ind w:left="176"/>
              <w:rPr>
                <w:rFonts w:ascii="Calibri" w:hAnsi="Calibri"/>
                <w:color w:val="000000"/>
                <w:sz w:val="16"/>
                <w:szCs w:val="16"/>
              </w:rPr>
            </w:pPr>
          </w:p>
          <w:p w14:paraId="0E57D9B7" w14:textId="77777777" w:rsidR="00C21F3F" w:rsidRPr="00C21F3F" w:rsidRDefault="00C21F3F" w:rsidP="00947F35">
            <w:pPr>
              <w:autoSpaceDE w:val="0"/>
              <w:autoSpaceDN w:val="0"/>
              <w:adjustRightInd w:val="0"/>
              <w:spacing w:after="80" w:line="240" w:lineRule="auto"/>
              <w:rPr>
                <w:rFonts w:ascii="Calibri" w:hAnsi="Calibri"/>
                <w:i/>
                <w:color w:val="000000"/>
                <w:sz w:val="16"/>
                <w:szCs w:val="16"/>
              </w:rPr>
            </w:pPr>
            <w:r w:rsidRPr="00C21F3F">
              <w:rPr>
                <w:rFonts w:ascii="Calibri" w:hAnsi="Calibri"/>
                <w:i/>
                <w:color w:val="000000"/>
                <w:sz w:val="16"/>
                <w:szCs w:val="16"/>
              </w:rPr>
              <w:t>Comments</w:t>
            </w:r>
            <w:r>
              <w:rPr>
                <w:rFonts w:ascii="Calibri" w:hAnsi="Calibri"/>
                <w:i/>
                <w:color w:val="000000"/>
                <w:sz w:val="16"/>
                <w:szCs w:val="16"/>
              </w:rPr>
              <w:t>_________________</w:t>
            </w:r>
          </w:p>
        </w:tc>
        <w:tc>
          <w:tcPr>
            <w:tcW w:w="8222" w:type="dxa"/>
            <w:tcBorders>
              <w:top w:val="nil"/>
              <w:left w:val="nil"/>
              <w:bottom w:val="single" w:sz="4" w:space="0" w:color="auto"/>
              <w:right w:val="single" w:sz="4" w:space="0" w:color="auto"/>
            </w:tcBorders>
            <w:shd w:val="clear" w:color="auto" w:fill="auto"/>
          </w:tcPr>
          <w:p w14:paraId="0E57D9B8" w14:textId="77777777" w:rsidR="00AC0018" w:rsidRPr="00AC0018" w:rsidRDefault="00C21F3F" w:rsidP="00C21F3F">
            <w:pPr>
              <w:autoSpaceDE w:val="0"/>
              <w:autoSpaceDN w:val="0"/>
              <w:adjustRightInd w:val="0"/>
              <w:spacing w:after="0" w:line="240" w:lineRule="auto"/>
              <w:rPr>
                <w:rFonts w:eastAsia="Calibri" w:cs="Times New Roman"/>
                <w:bCs/>
                <w:sz w:val="16"/>
                <w:szCs w:val="16"/>
              </w:rPr>
            </w:pPr>
            <w:r w:rsidRPr="00AC0018">
              <w:rPr>
                <w:rFonts w:eastAsia="Calibri" w:cs="Times New Roman"/>
                <w:bCs/>
                <w:sz w:val="16"/>
                <w:szCs w:val="16"/>
              </w:rPr>
              <w:lastRenderedPageBreak/>
              <w:t xml:space="preserve">Histologic diagnosis is based on the WHO </w:t>
            </w:r>
            <w:r w:rsidRPr="00AC0018">
              <w:rPr>
                <w:rFonts w:eastAsia="Calibri" w:cs="Times New Roman"/>
                <w:sz w:val="16"/>
                <w:szCs w:val="16"/>
              </w:rPr>
              <w:t>Classification of Tumours, Soft Tissue and Bone Tumours, 5</w:t>
            </w:r>
            <w:r w:rsidRPr="00AC0018">
              <w:rPr>
                <w:rFonts w:eastAsia="Calibri" w:cs="Times New Roman"/>
                <w:sz w:val="16"/>
                <w:szCs w:val="16"/>
                <w:vertAlign w:val="superscript"/>
              </w:rPr>
              <w:t>th</w:t>
            </w:r>
            <w:r w:rsidRPr="00AC0018">
              <w:rPr>
                <w:rFonts w:eastAsia="Calibri" w:cs="Times New Roman"/>
                <w:sz w:val="16"/>
                <w:szCs w:val="16"/>
              </w:rPr>
              <w:t xml:space="preserve"> edition, 2020</w:t>
            </w:r>
            <w:r w:rsidRPr="00AC0018">
              <w:rPr>
                <w:rFonts w:eastAsia="Calibri" w:cs="Times New Roman"/>
                <w:bCs/>
                <w:sz w:val="16"/>
                <w:szCs w:val="16"/>
              </w:rPr>
              <w:t xml:space="preserve"> </w:t>
            </w:r>
          </w:p>
          <w:p w14:paraId="0E57D9B9" w14:textId="77777777" w:rsidR="00C21F3F" w:rsidRPr="00AC0018" w:rsidRDefault="00C21F3F" w:rsidP="00C21F3F">
            <w:pPr>
              <w:autoSpaceDE w:val="0"/>
              <w:autoSpaceDN w:val="0"/>
              <w:adjustRightInd w:val="0"/>
              <w:spacing w:after="0" w:line="240" w:lineRule="auto"/>
              <w:rPr>
                <w:rFonts w:eastAsia="Calibri" w:cs="Calibri"/>
                <w:color w:val="000000"/>
                <w:sz w:val="16"/>
                <w:szCs w:val="16"/>
                <w:lang w:eastAsia="nl-NL"/>
              </w:rPr>
            </w:pPr>
            <w:r w:rsidRPr="00AC0018">
              <w:rPr>
                <w:rFonts w:eastAsia="Calibri" w:cs="Times New Roman"/>
                <w:bCs/>
                <w:sz w:val="16"/>
                <w:szCs w:val="16"/>
              </w:rPr>
              <w:t>(Table 1).</w:t>
            </w:r>
            <w:r w:rsidRPr="00AC0018">
              <w:rPr>
                <w:rFonts w:eastAsia="Calibri" w:cs="Times New Roman"/>
                <w:bCs/>
                <w:sz w:val="16"/>
                <w:szCs w:val="16"/>
              </w:rPr>
              <w:fldChar w:fldCharType="begin"/>
            </w:r>
            <w:r w:rsidRPr="00AC0018">
              <w:rPr>
                <w:rFonts w:eastAsia="Calibri" w:cs="Times New Roman"/>
                <w:bCs/>
                <w:sz w:val="16"/>
                <w:szCs w:val="16"/>
              </w:rPr>
              <w:instrText xml:space="preserve"> ADDIN EN.CITE &lt;EndNote&gt;&lt;Cite&gt;&lt;Author&gt;IARC&lt;/Author&gt;&lt;Year&gt;2020&lt;/Year&gt;&lt;RecNum&gt;7&lt;/RecNum&gt;&lt;DisplayText&gt;&lt;style face="superscript"&gt;1&lt;/style&gt;&lt;/DisplayText&gt;&lt;record&gt;&lt;rec-number&gt;7&lt;/rec-number&gt;&lt;foreign-keys&gt;&lt;key app="EN" db-id="2xdxafpwyafr98e0wt7ps2xrzzfesasfdts2" timestamp="1591150362"&gt;7&lt;/key&gt;&lt;/foreign-keys&gt;&lt;ref-type name="Book"&gt;6&lt;/ref-type&gt;&lt;contributors&gt;&lt;authors&gt;&lt;author&gt;IARC&lt;/author&gt;&lt;/authors&gt;&lt;secondary-authors&gt;&lt;author&gt;WHO Classification of Tumours Editorial Board&lt;/author&gt;&lt;/secondary-authors&gt;&lt;/contributors&gt;&lt;titles&gt;&lt;title&gt;Soft Tissue and Bone Tumours. WHO Classification of Tumours, 5th Edition, Volume 3&lt;/title&gt;&lt;/titles&gt;&lt;dates&gt;&lt;year&gt;2020&lt;/year&gt;&lt;/dates&gt;&lt;pub-location&gt;Lyon, France&lt;/pub-location&gt;&lt;publisher&gt;IARC Publications&lt;/publisher&gt;&lt;urls&gt;&lt;/urls&gt;&lt;/record&gt;&lt;/Cite&gt;&lt;/EndNote&gt;</w:instrText>
            </w:r>
            <w:r w:rsidRPr="00AC0018">
              <w:rPr>
                <w:rFonts w:eastAsia="Calibri" w:cs="Times New Roman"/>
                <w:bCs/>
                <w:sz w:val="16"/>
                <w:szCs w:val="16"/>
              </w:rPr>
              <w:fldChar w:fldCharType="separate"/>
            </w:r>
            <w:r w:rsidRPr="00AC0018">
              <w:rPr>
                <w:rFonts w:eastAsia="Calibri" w:cs="Times New Roman"/>
                <w:bCs/>
                <w:noProof/>
                <w:sz w:val="16"/>
                <w:szCs w:val="16"/>
                <w:vertAlign w:val="superscript"/>
              </w:rPr>
              <w:t>1</w:t>
            </w:r>
            <w:r w:rsidRPr="00AC0018">
              <w:rPr>
                <w:rFonts w:eastAsia="Calibri" w:cs="Times New Roman"/>
                <w:bCs/>
                <w:sz w:val="16"/>
                <w:szCs w:val="16"/>
              </w:rPr>
              <w:fldChar w:fldCharType="end"/>
            </w:r>
            <w:r w:rsidRPr="00AC0018">
              <w:rPr>
                <w:rFonts w:eastAsia="Calibri" w:cs="Calibri"/>
                <w:color w:val="000000"/>
                <w:sz w:val="16"/>
                <w:szCs w:val="16"/>
                <w:lang w:eastAsia="nl-NL"/>
              </w:rPr>
              <w:t xml:space="preserve"> Many tumours of the bone are surgically assessed by biopsy. In some cases, the biopsy is </w:t>
            </w:r>
            <w:proofErr w:type="spellStart"/>
            <w:r w:rsidRPr="00AC0018">
              <w:rPr>
                <w:rFonts w:eastAsia="Calibri" w:cs="Calibri"/>
                <w:color w:val="000000"/>
                <w:sz w:val="16"/>
                <w:szCs w:val="16"/>
                <w:lang w:eastAsia="nl-NL"/>
              </w:rPr>
              <w:t>suboptimally</w:t>
            </w:r>
            <w:proofErr w:type="spellEnd"/>
            <w:r w:rsidRPr="00AC0018">
              <w:rPr>
                <w:rFonts w:eastAsia="Calibri" w:cs="Calibri"/>
                <w:color w:val="000000"/>
                <w:sz w:val="16"/>
                <w:szCs w:val="16"/>
                <w:lang w:eastAsia="nl-NL"/>
              </w:rPr>
              <w:t xml:space="preserve"> centred on the area(s) of interest or affected by the surgical process, leaving the pathologist with tissue that can be under-representative or misrepresentative of the lesion based on the imaging studies. In a few instances, more sophisticated testing (e.g., molecular) may be required to achieve a full/correct diagnosis, but the small tissue size, tissue processing issues, or suboptimal targeting of biopsy materials may make this testing impossible. The pathologist should specify any, and all, limitations of the tissue in achieving optimal diagnosis. In addition, comments can be made in case the diagnosis on biopsy is not certain for reasons other than limitations of the material, or when there is still a differential diagnosis.  </w:t>
            </w:r>
          </w:p>
          <w:p w14:paraId="0E57D9BA" w14:textId="77777777" w:rsidR="00A506AE" w:rsidRPr="00AC0018" w:rsidRDefault="00A506AE" w:rsidP="008C74C3">
            <w:pPr>
              <w:spacing w:after="0" w:line="240" w:lineRule="auto"/>
              <w:rPr>
                <w:iCs/>
                <w:sz w:val="16"/>
                <w:szCs w:val="16"/>
              </w:rPr>
            </w:pPr>
          </w:p>
          <w:p w14:paraId="0E57D9BB" w14:textId="77777777" w:rsidR="00C21F3F" w:rsidRPr="00AC0018" w:rsidRDefault="00C21F3F" w:rsidP="00C21F3F">
            <w:pPr>
              <w:spacing w:after="0" w:line="240" w:lineRule="auto"/>
              <w:rPr>
                <w:b/>
                <w:bCs/>
                <w:iCs/>
                <w:sz w:val="16"/>
                <w:szCs w:val="16"/>
                <w:u w:val="single"/>
              </w:rPr>
            </w:pPr>
            <w:r w:rsidRPr="00AC0018">
              <w:rPr>
                <w:b/>
                <w:bCs/>
                <w:iCs/>
                <w:sz w:val="16"/>
                <w:szCs w:val="16"/>
                <w:u w:val="single"/>
              </w:rPr>
              <w:t>Table 1</w:t>
            </w:r>
            <w:r w:rsidR="0011697B" w:rsidRPr="00AC0018">
              <w:rPr>
                <w:b/>
                <w:bCs/>
                <w:iCs/>
                <w:sz w:val="16"/>
                <w:szCs w:val="16"/>
              </w:rPr>
              <w:t xml:space="preserve"> </w:t>
            </w:r>
            <w:r w:rsidRPr="00AC0018">
              <w:rPr>
                <w:b/>
                <w:bCs/>
                <w:iCs/>
                <w:sz w:val="16"/>
                <w:szCs w:val="16"/>
              </w:rPr>
              <w:t xml:space="preserve">(See the end of document for </w:t>
            </w:r>
            <w:r w:rsidR="00E93F9C" w:rsidRPr="00AC0018">
              <w:rPr>
                <w:b/>
                <w:bCs/>
                <w:iCs/>
                <w:sz w:val="16"/>
                <w:szCs w:val="16"/>
              </w:rPr>
              <w:t>Table</w:t>
            </w:r>
            <w:r w:rsidRPr="00AC0018">
              <w:rPr>
                <w:b/>
                <w:bCs/>
                <w:iCs/>
                <w:sz w:val="16"/>
                <w:szCs w:val="16"/>
              </w:rPr>
              <w:t>)</w:t>
            </w:r>
          </w:p>
          <w:p w14:paraId="0E57D9BC" w14:textId="77777777" w:rsidR="00D84C00" w:rsidRPr="00AC0018" w:rsidRDefault="00D84C00" w:rsidP="00C21F3F">
            <w:pPr>
              <w:spacing w:after="0" w:line="240" w:lineRule="auto"/>
              <w:rPr>
                <w:b/>
                <w:bCs/>
                <w:iCs/>
                <w:sz w:val="16"/>
                <w:szCs w:val="16"/>
                <w:u w:val="single"/>
              </w:rPr>
            </w:pPr>
          </w:p>
          <w:p w14:paraId="0E57D9BD" w14:textId="77777777" w:rsidR="00D84C00" w:rsidRPr="00AC0018" w:rsidRDefault="00D84C00" w:rsidP="00D84C00">
            <w:pPr>
              <w:spacing w:after="0" w:line="240" w:lineRule="auto"/>
              <w:rPr>
                <w:b/>
                <w:bCs/>
                <w:iCs/>
                <w:sz w:val="16"/>
                <w:szCs w:val="16"/>
              </w:rPr>
            </w:pPr>
            <w:r w:rsidRPr="00AC0018">
              <w:rPr>
                <w:b/>
                <w:bCs/>
                <w:iCs/>
                <w:sz w:val="16"/>
                <w:szCs w:val="16"/>
              </w:rPr>
              <w:t xml:space="preserve">References </w:t>
            </w:r>
          </w:p>
          <w:p w14:paraId="0E57D9BE" w14:textId="77777777" w:rsidR="00D84C00" w:rsidRPr="00AC0018" w:rsidRDefault="00D84C00" w:rsidP="00D84C00">
            <w:pPr>
              <w:spacing w:after="0" w:line="240" w:lineRule="auto"/>
              <w:ind w:left="176" w:hanging="176"/>
              <w:rPr>
                <w:rFonts w:eastAsia="Calibri" w:cs="Times New Roman"/>
                <w:noProof/>
                <w:sz w:val="16"/>
                <w:szCs w:val="16"/>
                <w:lang w:val="en-US"/>
              </w:rPr>
            </w:pPr>
            <w:r w:rsidRPr="00AC0018">
              <w:rPr>
                <w:rFonts w:eastAsia="Calibri" w:cs="Times New Roman"/>
                <w:noProof/>
                <w:sz w:val="16"/>
                <w:szCs w:val="16"/>
                <w:lang w:val="en-US"/>
              </w:rPr>
              <w:t>1</w:t>
            </w:r>
            <w:r w:rsidRPr="00AC0018">
              <w:rPr>
                <w:rFonts w:eastAsia="Calibri" w:cs="Times New Roman"/>
                <w:noProof/>
                <w:sz w:val="16"/>
                <w:szCs w:val="16"/>
                <w:lang w:val="en-US"/>
              </w:rPr>
              <w:tab/>
            </w:r>
            <w:r w:rsidRPr="00AC0018">
              <w:rPr>
                <w:rFonts w:eastAsia="Calibri" w:cs="Segoe UI"/>
                <w:noProof/>
                <w:sz w:val="16"/>
                <w:szCs w:val="16"/>
                <w:lang w:val="en-US" w:eastAsia="en-AU"/>
              </w:rPr>
              <w:t>WHO Classification of Tumours Editorial Board</w:t>
            </w:r>
            <w:r w:rsidRPr="00AC0018">
              <w:rPr>
                <w:rFonts w:eastAsia="Calibri" w:cs="Times New Roman"/>
                <w:noProof/>
                <w:sz w:val="16"/>
                <w:szCs w:val="16"/>
                <w:lang w:val="en-US"/>
              </w:rPr>
              <w:t xml:space="preserve"> (2020). </w:t>
            </w:r>
            <w:r w:rsidRPr="00AC0018">
              <w:rPr>
                <w:rFonts w:eastAsia="Calibri" w:cs="Times New Roman"/>
                <w:i/>
                <w:noProof/>
                <w:sz w:val="16"/>
                <w:szCs w:val="16"/>
                <w:lang w:val="en-US"/>
              </w:rPr>
              <w:t>Soft Tissue and Bone Tumours. WHO Classification of Tumours, 5th Edition, Volume 3</w:t>
            </w:r>
            <w:r w:rsidRPr="00AC0018">
              <w:rPr>
                <w:rFonts w:eastAsia="Calibri" w:cs="Times New Roman"/>
                <w:noProof/>
                <w:sz w:val="16"/>
                <w:szCs w:val="16"/>
                <w:lang w:val="en-US"/>
              </w:rPr>
              <w:t>. IARC Publications, Lyon.</w:t>
            </w:r>
          </w:p>
          <w:p w14:paraId="0E57D9BF" w14:textId="77777777" w:rsidR="00D84C00" w:rsidRPr="00813612" w:rsidRDefault="00D84C00" w:rsidP="00D84C00">
            <w:pPr>
              <w:spacing w:after="0" w:line="240" w:lineRule="auto"/>
              <w:ind w:left="176" w:hanging="176"/>
              <w:rPr>
                <w:rFonts w:ascii="Calibri" w:hAnsi="Calibri"/>
                <w:iCs/>
                <w:sz w:val="16"/>
                <w:szCs w:val="16"/>
              </w:rPr>
            </w:pPr>
            <w:r w:rsidRPr="00AC0018">
              <w:rPr>
                <w:rFonts w:eastAsia="Calibri" w:cs="Times New Roman"/>
                <w:sz w:val="16"/>
                <w:szCs w:val="16"/>
              </w:rPr>
              <w:t>2</w:t>
            </w:r>
            <w:r w:rsidRPr="00AC0018">
              <w:rPr>
                <w:rFonts w:eastAsia="Calibri" w:cs="Times New Roman"/>
                <w:sz w:val="16"/>
                <w:szCs w:val="16"/>
              </w:rPr>
              <w:tab/>
              <w:t xml:space="preserve">Fritz A, Percy C, Jack A, Shanmugaratnam K, Sobin LH, Parkin DM, Whelan SL and World Health Organization (2000). </w:t>
            </w:r>
            <w:r w:rsidRPr="00AC0018">
              <w:rPr>
                <w:rFonts w:eastAsia="Calibri" w:cs="Times New Roman"/>
                <w:i/>
                <w:sz w:val="16"/>
                <w:szCs w:val="16"/>
              </w:rPr>
              <w:t>International classification of diseases for oncology</w:t>
            </w:r>
            <w:r w:rsidRPr="00AC0018">
              <w:rPr>
                <w:rFonts w:eastAsia="Calibri" w:cs="Times New Roman"/>
                <w:sz w:val="16"/>
                <w:szCs w:val="16"/>
              </w:rPr>
              <w:t>, World Health Organization, Geneva</w:t>
            </w:r>
          </w:p>
        </w:tc>
        <w:tc>
          <w:tcPr>
            <w:tcW w:w="1701" w:type="dxa"/>
            <w:tcBorders>
              <w:top w:val="nil"/>
              <w:left w:val="nil"/>
              <w:bottom w:val="single" w:sz="4" w:space="0" w:color="auto"/>
              <w:right w:val="single" w:sz="4" w:space="0" w:color="auto"/>
            </w:tcBorders>
            <w:shd w:val="clear" w:color="auto" w:fill="auto"/>
          </w:tcPr>
          <w:p w14:paraId="0E57D9C0" w14:textId="77777777" w:rsidR="00A506AE" w:rsidRPr="00FC4085" w:rsidRDefault="00FC4085" w:rsidP="00AE0937">
            <w:pPr>
              <w:autoSpaceDE w:val="0"/>
              <w:autoSpaceDN w:val="0"/>
              <w:adjustRightInd w:val="0"/>
              <w:spacing w:after="0" w:line="181" w:lineRule="atLeast"/>
              <w:rPr>
                <w:rFonts w:ascii="Calibri" w:hAnsi="Calibri" w:cs="Verdana"/>
                <w:iCs/>
                <w:color w:val="221E1F"/>
                <w:sz w:val="16"/>
                <w:szCs w:val="16"/>
              </w:rPr>
            </w:pPr>
            <w:r w:rsidRPr="00FC4085">
              <w:rPr>
                <w:rFonts w:ascii="Calibri" w:hAnsi="Calibri" w:cs="Verdana"/>
                <w:iCs/>
                <w:color w:val="221E1F"/>
                <w:sz w:val="16"/>
                <w:szCs w:val="16"/>
              </w:rPr>
              <w:t xml:space="preserve">Value list based on the </w:t>
            </w:r>
            <w:r w:rsidR="00B67C93">
              <w:rPr>
                <w:rFonts w:ascii="Calibri" w:hAnsi="Calibri" w:cs="Verdana"/>
                <w:iCs/>
                <w:color w:val="221E1F"/>
                <w:sz w:val="16"/>
                <w:szCs w:val="16"/>
              </w:rPr>
              <w:t>WHO</w:t>
            </w:r>
            <w:r w:rsidRPr="00FC4085">
              <w:rPr>
                <w:rFonts w:ascii="Calibri" w:hAnsi="Calibri" w:cs="Verdana"/>
                <w:iCs/>
                <w:color w:val="221E1F"/>
                <w:sz w:val="16"/>
                <w:szCs w:val="16"/>
              </w:rPr>
              <w:t xml:space="preserve"> of Soft Tissue and Bone Tumours (2020).</w:t>
            </w:r>
          </w:p>
          <w:p w14:paraId="0E57D9C1" w14:textId="77777777" w:rsidR="00FC4085" w:rsidRDefault="00FC4085" w:rsidP="00FC4085">
            <w:pPr>
              <w:autoSpaceDE w:val="0"/>
              <w:autoSpaceDN w:val="0"/>
              <w:adjustRightInd w:val="0"/>
              <w:spacing w:after="0" w:line="181" w:lineRule="atLeast"/>
              <w:rPr>
                <w:rFonts w:ascii="Calibri" w:hAnsi="Calibri" w:cs="Verdana"/>
                <w:iCs/>
                <w:color w:val="221E1F"/>
                <w:sz w:val="16"/>
                <w:szCs w:val="16"/>
              </w:rPr>
            </w:pPr>
          </w:p>
          <w:p w14:paraId="0E57D9C2" w14:textId="0647BEB7" w:rsidR="00FC4085" w:rsidRPr="00FC4085" w:rsidRDefault="00FC4085" w:rsidP="00FC4085">
            <w:pPr>
              <w:autoSpaceDE w:val="0"/>
              <w:autoSpaceDN w:val="0"/>
              <w:adjustRightInd w:val="0"/>
              <w:spacing w:after="0" w:line="181" w:lineRule="atLeast"/>
              <w:rPr>
                <w:rFonts w:ascii="Calibri" w:hAnsi="Calibri" w:cs="Verdana"/>
                <w:iCs/>
                <w:color w:val="221E1F"/>
                <w:sz w:val="16"/>
                <w:szCs w:val="16"/>
              </w:rPr>
            </w:pPr>
            <w:r w:rsidRPr="00FC4085">
              <w:rPr>
                <w:rFonts w:ascii="Calibri" w:hAnsi="Calibri" w:cs="Verdana"/>
                <w:iCs/>
                <w:color w:val="221E1F"/>
                <w:sz w:val="16"/>
                <w:szCs w:val="16"/>
              </w:rPr>
              <w:t xml:space="preserve">Note that permission to publish the WHO </w:t>
            </w:r>
            <w:r w:rsidR="00A36FBC">
              <w:rPr>
                <w:rFonts w:ascii="Calibri" w:hAnsi="Calibri" w:cs="Verdana"/>
                <w:iCs/>
                <w:color w:val="221E1F"/>
                <w:sz w:val="16"/>
                <w:szCs w:val="16"/>
              </w:rPr>
              <w:t>C</w:t>
            </w:r>
            <w:r w:rsidRPr="00FC4085">
              <w:rPr>
                <w:rFonts w:ascii="Calibri" w:hAnsi="Calibri" w:cs="Verdana"/>
                <w:iCs/>
                <w:color w:val="221E1F"/>
                <w:sz w:val="16"/>
                <w:szCs w:val="16"/>
              </w:rPr>
              <w:t xml:space="preserve">lassification of </w:t>
            </w:r>
            <w:r w:rsidR="00A36FBC">
              <w:rPr>
                <w:rFonts w:ascii="Calibri" w:hAnsi="Calibri" w:cs="Verdana"/>
                <w:iCs/>
                <w:color w:val="221E1F"/>
                <w:sz w:val="16"/>
                <w:szCs w:val="16"/>
              </w:rPr>
              <w:t>T</w:t>
            </w:r>
            <w:r w:rsidRPr="00FC4085">
              <w:rPr>
                <w:rFonts w:ascii="Calibri" w:hAnsi="Calibri" w:cs="Verdana"/>
                <w:iCs/>
                <w:color w:val="221E1F"/>
                <w:sz w:val="16"/>
                <w:szCs w:val="16"/>
              </w:rPr>
              <w:t xml:space="preserve">umours may be needed in your implementation. It is advisable to check with the </w:t>
            </w:r>
            <w:r w:rsidR="000146DA" w:rsidRPr="000146DA">
              <w:rPr>
                <w:rFonts w:ascii="Calibri" w:hAnsi="Calibri" w:cs="Verdana"/>
                <w:iCs/>
                <w:color w:val="221E1F"/>
                <w:sz w:val="16"/>
                <w:szCs w:val="16"/>
              </w:rPr>
              <w:t xml:space="preserve"> International Agency for Research on Cancer </w:t>
            </w:r>
            <w:r w:rsidRPr="00FC4085">
              <w:rPr>
                <w:rFonts w:ascii="Calibri" w:hAnsi="Calibri" w:cs="Verdana"/>
                <w:iCs/>
                <w:color w:val="221E1F"/>
                <w:sz w:val="16"/>
                <w:szCs w:val="16"/>
              </w:rPr>
              <w:t>(IARC).</w:t>
            </w:r>
          </w:p>
          <w:p w14:paraId="0E57D9C3" w14:textId="77777777" w:rsidR="00FC4085" w:rsidRPr="00FC4085" w:rsidRDefault="00FC4085" w:rsidP="00AE0937">
            <w:pPr>
              <w:autoSpaceDE w:val="0"/>
              <w:autoSpaceDN w:val="0"/>
              <w:adjustRightInd w:val="0"/>
              <w:spacing w:after="0" w:line="181" w:lineRule="atLeast"/>
              <w:rPr>
                <w:rFonts w:ascii="Calibri" w:hAnsi="Calibri" w:cs="Verdana"/>
                <w:color w:val="221E1F"/>
                <w:sz w:val="16"/>
                <w:szCs w:val="16"/>
              </w:rPr>
            </w:pPr>
          </w:p>
        </w:tc>
      </w:tr>
      <w:tr w:rsidR="00594B08" w:rsidRPr="00CC5E7C" w14:paraId="0E57D9EE" w14:textId="77777777" w:rsidTr="008B52FC">
        <w:trPr>
          <w:trHeight w:val="469"/>
        </w:trPr>
        <w:tc>
          <w:tcPr>
            <w:tcW w:w="866" w:type="dxa"/>
            <w:tcBorders>
              <w:top w:val="nil"/>
              <w:left w:val="single" w:sz="4" w:space="0" w:color="auto"/>
              <w:bottom w:val="single" w:sz="4" w:space="0" w:color="auto"/>
              <w:right w:val="single" w:sz="4" w:space="0" w:color="auto"/>
            </w:tcBorders>
            <w:shd w:val="clear" w:color="000000" w:fill="EEECE1"/>
          </w:tcPr>
          <w:p w14:paraId="0E57D9C5" w14:textId="77777777" w:rsidR="00594B08" w:rsidRDefault="000C27B1" w:rsidP="00864C93">
            <w:pPr>
              <w:spacing w:after="0"/>
              <w:rPr>
                <w:rFonts w:ascii="Calibri" w:hAnsi="Calibri"/>
                <w:color w:val="000000"/>
                <w:sz w:val="16"/>
                <w:szCs w:val="16"/>
              </w:rPr>
            </w:pPr>
            <w:r>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0E57D9C6" w14:textId="77777777" w:rsidR="00594B08" w:rsidRPr="00FC4085" w:rsidRDefault="00864C93" w:rsidP="0035431E">
            <w:pPr>
              <w:rPr>
                <w:rFonts w:ascii="Calibri" w:hAnsi="Calibri"/>
                <w:bCs/>
                <w:color w:val="000000"/>
                <w:sz w:val="16"/>
                <w:szCs w:val="16"/>
              </w:rPr>
            </w:pPr>
            <w:r w:rsidRPr="00864C93">
              <w:rPr>
                <w:rFonts w:ascii="Calibri" w:hAnsi="Calibri"/>
                <w:bCs/>
                <w:color w:val="000000"/>
                <w:sz w:val="16"/>
                <w:szCs w:val="16"/>
              </w:rPr>
              <w:t>HISTOLOGICAL TUMOUR GRADE</w:t>
            </w:r>
          </w:p>
        </w:tc>
        <w:tc>
          <w:tcPr>
            <w:tcW w:w="2835" w:type="dxa"/>
            <w:tcBorders>
              <w:top w:val="nil"/>
              <w:left w:val="nil"/>
              <w:bottom w:val="single" w:sz="4" w:space="0" w:color="auto"/>
              <w:right w:val="single" w:sz="4" w:space="0" w:color="auto"/>
            </w:tcBorders>
            <w:shd w:val="clear" w:color="auto" w:fill="auto"/>
          </w:tcPr>
          <w:p w14:paraId="0E57D9C7" w14:textId="77777777" w:rsidR="00864C93" w:rsidRPr="00864C93" w:rsidRDefault="00864C93" w:rsidP="00864C93">
            <w:pPr>
              <w:pStyle w:val="ListParagraph"/>
              <w:numPr>
                <w:ilvl w:val="0"/>
                <w:numId w:val="4"/>
              </w:numPr>
              <w:spacing w:after="0" w:line="240" w:lineRule="auto"/>
              <w:ind w:left="176" w:hanging="142"/>
              <w:rPr>
                <w:rFonts w:ascii="Calibri" w:hAnsi="Calibri"/>
                <w:color w:val="000000"/>
                <w:sz w:val="16"/>
                <w:szCs w:val="16"/>
              </w:rPr>
            </w:pPr>
            <w:r w:rsidRPr="00864C93">
              <w:rPr>
                <w:rFonts w:ascii="Calibri" w:hAnsi="Calibri"/>
                <w:color w:val="000000"/>
                <w:sz w:val="16"/>
                <w:szCs w:val="16"/>
              </w:rPr>
              <w:t xml:space="preserve">Not applicable </w:t>
            </w:r>
          </w:p>
          <w:p w14:paraId="0E57D9C8" w14:textId="77777777" w:rsidR="00864C93" w:rsidRPr="00864C93" w:rsidRDefault="00864C93" w:rsidP="00864C93">
            <w:pPr>
              <w:pStyle w:val="ListParagraph"/>
              <w:numPr>
                <w:ilvl w:val="0"/>
                <w:numId w:val="4"/>
              </w:numPr>
              <w:spacing w:after="0" w:line="240" w:lineRule="auto"/>
              <w:ind w:left="176" w:hanging="142"/>
              <w:rPr>
                <w:rFonts w:ascii="Calibri" w:hAnsi="Calibri"/>
                <w:color w:val="000000"/>
                <w:sz w:val="16"/>
                <w:szCs w:val="16"/>
              </w:rPr>
            </w:pPr>
            <w:r w:rsidRPr="00864C93">
              <w:rPr>
                <w:rFonts w:ascii="Calibri" w:hAnsi="Calibri"/>
                <w:color w:val="000000"/>
                <w:sz w:val="16"/>
                <w:szCs w:val="16"/>
              </w:rPr>
              <w:t>Grade 1</w:t>
            </w:r>
          </w:p>
          <w:p w14:paraId="0E57D9C9" w14:textId="77777777" w:rsidR="00864C93" w:rsidRPr="00864C93" w:rsidRDefault="00864C93" w:rsidP="00864C93">
            <w:pPr>
              <w:pStyle w:val="ListParagraph"/>
              <w:numPr>
                <w:ilvl w:val="0"/>
                <w:numId w:val="4"/>
              </w:numPr>
              <w:spacing w:after="0" w:line="240" w:lineRule="auto"/>
              <w:ind w:left="176" w:hanging="142"/>
              <w:rPr>
                <w:rFonts w:ascii="Calibri" w:hAnsi="Calibri"/>
                <w:color w:val="000000"/>
                <w:sz w:val="16"/>
                <w:szCs w:val="16"/>
              </w:rPr>
            </w:pPr>
            <w:r w:rsidRPr="00864C93">
              <w:rPr>
                <w:rFonts w:ascii="Calibri" w:hAnsi="Calibri"/>
                <w:color w:val="000000"/>
                <w:sz w:val="16"/>
                <w:szCs w:val="16"/>
              </w:rPr>
              <w:t>Grade 2</w:t>
            </w:r>
          </w:p>
          <w:p w14:paraId="0E57D9CA" w14:textId="77777777" w:rsidR="00864C93" w:rsidRDefault="00864C93" w:rsidP="00864C93">
            <w:pPr>
              <w:pStyle w:val="ListParagraph"/>
              <w:numPr>
                <w:ilvl w:val="0"/>
                <w:numId w:val="4"/>
              </w:numPr>
              <w:spacing w:after="0" w:line="240" w:lineRule="auto"/>
              <w:ind w:left="176" w:hanging="142"/>
              <w:rPr>
                <w:rFonts w:ascii="Calibri" w:hAnsi="Calibri"/>
                <w:color w:val="000000"/>
                <w:sz w:val="16"/>
                <w:szCs w:val="16"/>
              </w:rPr>
            </w:pPr>
            <w:r w:rsidRPr="00864C93">
              <w:rPr>
                <w:rFonts w:ascii="Calibri" w:hAnsi="Calibri"/>
                <w:color w:val="000000"/>
                <w:sz w:val="16"/>
                <w:szCs w:val="16"/>
              </w:rPr>
              <w:t>Grade 3</w:t>
            </w:r>
          </w:p>
          <w:p w14:paraId="0E57D9CB" w14:textId="77777777" w:rsidR="005F3CC6" w:rsidRPr="00864C93" w:rsidRDefault="00864C93" w:rsidP="00864C93">
            <w:pPr>
              <w:pStyle w:val="ListParagraph"/>
              <w:numPr>
                <w:ilvl w:val="0"/>
                <w:numId w:val="4"/>
              </w:numPr>
              <w:spacing w:after="0" w:line="240" w:lineRule="auto"/>
              <w:ind w:left="176" w:hanging="142"/>
              <w:rPr>
                <w:rFonts w:ascii="Calibri" w:hAnsi="Calibri"/>
                <w:color w:val="000000"/>
                <w:sz w:val="16"/>
                <w:szCs w:val="16"/>
              </w:rPr>
            </w:pPr>
            <w:r w:rsidRPr="00864C93">
              <w:rPr>
                <w:rFonts w:ascii="Calibri" w:hAnsi="Calibri"/>
                <w:color w:val="000000"/>
                <w:sz w:val="16"/>
                <w:szCs w:val="16"/>
              </w:rPr>
              <w:t xml:space="preserve">Cannot be assessed, </w:t>
            </w:r>
            <w:r w:rsidRPr="00864C93">
              <w:rPr>
                <w:rFonts w:ascii="Calibri" w:hAnsi="Calibri"/>
                <w:i/>
                <w:iCs/>
                <w:color w:val="000000"/>
                <w:sz w:val="16"/>
                <w:szCs w:val="16"/>
              </w:rPr>
              <w:t>specify</w:t>
            </w:r>
            <w:r w:rsidRPr="00864C93">
              <w:rPr>
                <w:rFonts w:ascii="Calibri" w:hAnsi="Calibri"/>
                <w:color w:val="000000"/>
                <w:sz w:val="16"/>
                <w:szCs w:val="16"/>
              </w:rPr>
              <w:t xml:space="preserve"> </w:t>
            </w:r>
          </w:p>
          <w:p w14:paraId="0E57D9CC" w14:textId="77777777" w:rsidR="005F3CC6" w:rsidRPr="005F3CC6" w:rsidRDefault="005F3CC6" w:rsidP="005F3CC6">
            <w:pPr>
              <w:spacing w:after="0" w:line="240" w:lineRule="auto"/>
              <w:rPr>
                <w:rFonts w:cs="Verdana"/>
                <w:color w:val="000000" w:themeColor="text1"/>
                <w:sz w:val="16"/>
                <w:szCs w:val="16"/>
              </w:rPr>
            </w:pPr>
          </w:p>
        </w:tc>
        <w:tc>
          <w:tcPr>
            <w:tcW w:w="8222" w:type="dxa"/>
            <w:tcBorders>
              <w:top w:val="nil"/>
              <w:left w:val="nil"/>
              <w:bottom w:val="single" w:sz="4" w:space="0" w:color="auto"/>
              <w:right w:val="single" w:sz="4" w:space="0" w:color="auto"/>
            </w:tcBorders>
            <w:shd w:val="clear" w:color="auto" w:fill="auto"/>
          </w:tcPr>
          <w:p w14:paraId="0E57D9CD" w14:textId="77777777" w:rsidR="00626847" w:rsidRPr="00626847" w:rsidRDefault="00626847" w:rsidP="00626847">
            <w:pPr>
              <w:spacing w:after="0" w:line="240" w:lineRule="auto"/>
              <w:rPr>
                <w:rFonts w:ascii="Calibri" w:eastAsia="Calibri" w:hAnsi="Calibri" w:cs="Times New Roman"/>
                <w:sz w:val="16"/>
                <w:szCs w:val="16"/>
              </w:rPr>
            </w:pPr>
            <w:r w:rsidRPr="00626847">
              <w:rPr>
                <w:rFonts w:ascii="Calibri" w:eastAsia="Calibri" w:hAnsi="Calibri" w:cs="Times New Roman"/>
                <w:sz w:val="16"/>
                <w:szCs w:val="16"/>
              </w:rPr>
              <w:t xml:space="preserve">In bone sarcomas, the </w:t>
            </w:r>
            <w:proofErr w:type="spellStart"/>
            <w:r w:rsidRPr="00626847">
              <w:rPr>
                <w:rFonts w:ascii="Calibri" w:eastAsia="Calibri" w:hAnsi="Calibri" w:cs="Times New Roman"/>
                <w:sz w:val="16"/>
                <w:szCs w:val="16"/>
              </w:rPr>
              <w:t>histotype</w:t>
            </w:r>
            <w:proofErr w:type="spellEnd"/>
            <w:r w:rsidRPr="00626847">
              <w:rPr>
                <w:rFonts w:ascii="Calibri" w:eastAsia="Calibri" w:hAnsi="Calibri" w:cs="Times New Roman"/>
                <w:sz w:val="16"/>
                <w:szCs w:val="16"/>
              </w:rPr>
              <w:t xml:space="preserve"> mostly determines grade, as indicated in the list below (based on the 2020 W</w:t>
            </w:r>
            <w:r w:rsidR="003A3CE5">
              <w:rPr>
                <w:rFonts w:ascii="Calibri" w:eastAsia="Calibri" w:hAnsi="Calibri" w:cs="Times New Roman"/>
                <w:sz w:val="16"/>
                <w:szCs w:val="16"/>
              </w:rPr>
              <w:t>HO</w:t>
            </w:r>
            <w:r w:rsidRPr="00626847">
              <w:rPr>
                <w:rFonts w:ascii="Calibri" w:eastAsia="Calibri" w:hAnsi="Calibri" w:cs="Times New Roman"/>
                <w:sz w:val="16"/>
                <w:szCs w:val="16"/>
              </w:rPr>
              <w:t xml:space="preserve"> Classification</w:t>
            </w:r>
            <w:r w:rsidRPr="00626847">
              <w:rPr>
                <w:rFonts w:ascii="Calibri" w:eastAsia="Calibri" w:hAnsi="Calibri" w:cs="Times New Roman"/>
                <w:sz w:val="16"/>
                <w:szCs w:val="16"/>
              </w:rPr>
              <w:fldChar w:fldCharType="begin"/>
            </w:r>
            <w:r w:rsidRPr="00626847">
              <w:rPr>
                <w:rFonts w:ascii="Calibri" w:eastAsia="Calibri" w:hAnsi="Calibri" w:cs="Times New Roman"/>
                <w:sz w:val="16"/>
                <w:szCs w:val="16"/>
              </w:rPr>
              <w:instrText xml:space="preserve"> ADDIN EN.CITE &lt;EndNote&gt;&lt;Cite&gt;&lt;Author&gt;IARC&lt;/Author&gt;&lt;Year&gt;2020&lt;/Year&gt;&lt;RecNum&gt;7&lt;/RecNum&gt;&lt;DisplayText&gt;&lt;style face="superscript"&gt;1&lt;/style&gt;&lt;/DisplayText&gt;&lt;record&gt;&lt;rec-number&gt;7&lt;/rec-number&gt;&lt;foreign-keys&gt;&lt;key app="EN" db-id="2xdxafpwyafr98e0wt7ps2xrzzfesasfdts2" timestamp="1591150362"&gt;7&lt;/key&gt;&lt;/foreign-keys&gt;&lt;ref-type name="Book"&gt;6&lt;/ref-type&gt;&lt;contributors&gt;&lt;authors&gt;&lt;author&gt;IARC&lt;/author&gt;&lt;/authors&gt;&lt;secondary-authors&gt;&lt;author&gt;WHO Classification of Tumours Editorial Board&lt;/author&gt;&lt;/secondary-authors&gt;&lt;/contributors&gt;&lt;titles&gt;&lt;title&gt;Soft Tissue and Bone Tumours. WHO Classification of Tumours, 5th Edition, Volume 3&lt;/title&gt;&lt;/titles&gt;&lt;dates&gt;&lt;year&gt;2020&lt;/year&gt;&lt;/dates&gt;&lt;pub-location&gt;Lyon, France&lt;/pub-location&gt;&lt;publisher&gt;IARC Publications&lt;/publisher&gt;&lt;urls&gt;&lt;/urls&gt;&lt;/record&gt;&lt;/Cite&gt;&lt;/EndNote&gt;</w:instrText>
            </w:r>
            <w:r w:rsidRPr="00626847">
              <w:rPr>
                <w:rFonts w:ascii="Calibri" w:eastAsia="Calibri" w:hAnsi="Calibri" w:cs="Times New Roman"/>
                <w:sz w:val="16"/>
                <w:szCs w:val="16"/>
              </w:rPr>
              <w:fldChar w:fldCharType="separate"/>
            </w:r>
            <w:r w:rsidRPr="00626847">
              <w:rPr>
                <w:rFonts w:ascii="Calibri" w:eastAsia="Calibri" w:hAnsi="Calibri" w:cs="Times New Roman"/>
                <w:noProof/>
                <w:sz w:val="16"/>
                <w:szCs w:val="16"/>
                <w:vertAlign w:val="superscript"/>
              </w:rPr>
              <w:t>1</w:t>
            </w:r>
            <w:r w:rsidRPr="00626847">
              <w:rPr>
                <w:rFonts w:ascii="Calibri" w:eastAsia="Calibri" w:hAnsi="Calibri" w:cs="Times New Roman"/>
                <w:sz w:val="16"/>
                <w:szCs w:val="16"/>
              </w:rPr>
              <w:fldChar w:fldCharType="end"/>
            </w:r>
            <w:r w:rsidRPr="00626847">
              <w:rPr>
                <w:rFonts w:ascii="Calibri" w:eastAsia="Calibri" w:hAnsi="Calibri" w:cs="Times New Roman"/>
                <w:sz w:val="16"/>
                <w:szCs w:val="16"/>
              </w:rPr>
              <w:t xml:space="preserve">), with only a very few exceptions.  </w:t>
            </w:r>
          </w:p>
          <w:p w14:paraId="0E57D9CE" w14:textId="77777777" w:rsidR="00626847" w:rsidRPr="00626847" w:rsidRDefault="00626847" w:rsidP="00626847">
            <w:pPr>
              <w:spacing w:after="0" w:line="240" w:lineRule="auto"/>
              <w:rPr>
                <w:rFonts w:ascii="Calibri" w:eastAsia="Calibri" w:hAnsi="Calibri" w:cs="Times New Roman"/>
                <w:sz w:val="16"/>
                <w:szCs w:val="16"/>
              </w:rPr>
            </w:pPr>
          </w:p>
          <w:p w14:paraId="0E57D9CF" w14:textId="77777777" w:rsidR="00626847" w:rsidRPr="00626847" w:rsidRDefault="00626847" w:rsidP="00626847">
            <w:pPr>
              <w:spacing w:after="120" w:line="240" w:lineRule="auto"/>
              <w:rPr>
                <w:rFonts w:ascii="Calibri" w:eastAsia="Calibri" w:hAnsi="Calibri" w:cs="Times New Roman"/>
                <w:sz w:val="16"/>
                <w:szCs w:val="16"/>
              </w:rPr>
            </w:pPr>
            <w:r w:rsidRPr="00626847">
              <w:rPr>
                <w:rFonts w:ascii="Calibri" w:eastAsia="Calibri" w:hAnsi="Calibri" w:cs="Times New Roman"/>
                <w:sz w:val="16"/>
                <w:szCs w:val="16"/>
              </w:rPr>
              <w:t xml:space="preserve">Bone sarcomas in which grade is determined by </w:t>
            </w:r>
            <w:proofErr w:type="spellStart"/>
            <w:r w:rsidRPr="00626847">
              <w:rPr>
                <w:rFonts w:ascii="Calibri" w:eastAsia="Calibri" w:hAnsi="Calibri" w:cs="Times New Roman"/>
                <w:sz w:val="16"/>
                <w:szCs w:val="16"/>
              </w:rPr>
              <w:t>histotype</w:t>
            </w:r>
            <w:proofErr w:type="spellEnd"/>
            <w:r w:rsidRPr="00626847">
              <w:rPr>
                <w:rFonts w:ascii="Calibri" w:eastAsia="Calibri" w:hAnsi="Calibri" w:cs="Times New Roman"/>
                <w:sz w:val="16"/>
                <w:szCs w:val="16"/>
              </w:rPr>
              <w:t xml:space="preserve">: </w:t>
            </w:r>
          </w:p>
          <w:p w14:paraId="0E57D9D0" w14:textId="77777777" w:rsidR="00626847" w:rsidRPr="00626847" w:rsidRDefault="00626847" w:rsidP="00626847">
            <w:pPr>
              <w:spacing w:after="80" w:line="240" w:lineRule="auto"/>
              <w:rPr>
                <w:rFonts w:ascii="Calibri" w:eastAsia="Calibri" w:hAnsi="Calibri" w:cs="Times New Roman"/>
                <w:sz w:val="16"/>
                <w:szCs w:val="16"/>
              </w:rPr>
            </w:pPr>
            <w:r w:rsidRPr="00626847">
              <w:rPr>
                <w:rFonts w:ascii="Calibri" w:eastAsia="Calibri" w:hAnsi="Calibri" w:cs="Times New Roman"/>
                <w:sz w:val="16"/>
                <w:szCs w:val="16"/>
              </w:rPr>
              <w:t>Grade 1 (low grade):</w:t>
            </w:r>
          </w:p>
          <w:p w14:paraId="0E57D9D1" w14:textId="77777777" w:rsidR="00626847" w:rsidRPr="00626847" w:rsidRDefault="00626847" w:rsidP="003D276B">
            <w:pPr>
              <w:numPr>
                <w:ilvl w:val="0"/>
                <w:numId w:val="9"/>
              </w:numPr>
              <w:spacing w:after="0" w:line="240" w:lineRule="auto"/>
              <w:contextualSpacing/>
              <w:rPr>
                <w:rFonts w:ascii="Calibri" w:eastAsia="Calibri" w:hAnsi="Calibri" w:cs="Times New Roman"/>
                <w:sz w:val="16"/>
                <w:szCs w:val="16"/>
              </w:rPr>
            </w:pPr>
            <w:r w:rsidRPr="00626847">
              <w:rPr>
                <w:rFonts w:ascii="Calibri" w:eastAsia="Calibri" w:hAnsi="Calibri" w:cs="Times New Roman"/>
                <w:sz w:val="16"/>
                <w:szCs w:val="16"/>
              </w:rPr>
              <w:t>Low grade intramedullary osteosarcoma</w:t>
            </w:r>
          </w:p>
          <w:p w14:paraId="0E57D9D2" w14:textId="77777777" w:rsidR="00626847" w:rsidRPr="00626847" w:rsidRDefault="00626847" w:rsidP="003D276B">
            <w:pPr>
              <w:numPr>
                <w:ilvl w:val="0"/>
                <w:numId w:val="9"/>
              </w:numPr>
              <w:spacing w:after="0" w:line="240" w:lineRule="auto"/>
              <w:contextualSpacing/>
              <w:rPr>
                <w:rFonts w:ascii="Calibri" w:eastAsia="Calibri" w:hAnsi="Calibri" w:cs="Times New Roman"/>
                <w:sz w:val="16"/>
                <w:szCs w:val="16"/>
              </w:rPr>
            </w:pPr>
            <w:proofErr w:type="spellStart"/>
            <w:r w:rsidRPr="00626847">
              <w:rPr>
                <w:rFonts w:ascii="Calibri" w:eastAsia="Calibri" w:hAnsi="Calibri" w:cs="Times New Roman"/>
                <w:sz w:val="16"/>
                <w:szCs w:val="16"/>
              </w:rPr>
              <w:t>Parosteal</w:t>
            </w:r>
            <w:proofErr w:type="spellEnd"/>
            <w:r w:rsidRPr="00626847">
              <w:rPr>
                <w:rFonts w:ascii="Calibri" w:eastAsia="Calibri" w:hAnsi="Calibri" w:cs="Times New Roman"/>
                <w:sz w:val="16"/>
                <w:szCs w:val="16"/>
              </w:rPr>
              <w:t xml:space="preserve"> osteosarcoma</w:t>
            </w:r>
          </w:p>
          <w:p w14:paraId="0E57D9D3" w14:textId="77777777" w:rsidR="00626847" w:rsidRPr="00626847" w:rsidRDefault="00626847" w:rsidP="003D276B">
            <w:pPr>
              <w:numPr>
                <w:ilvl w:val="0"/>
                <w:numId w:val="9"/>
              </w:numPr>
              <w:spacing w:after="120" w:line="240" w:lineRule="auto"/>
              <w:contextualSpacing/>
              <w:rPr>
                <w:rFonts w:ascii="Calibri" w:eastAsia="Calibri" w:hAnsi="Calibri" w:cs="Times New Roman"/>
                <w:sz w:val="16"/>
                <w:szCs w:val="16"/>
              </w:rPr>
            </w:pPr>
            <w:r w:rsidRPr="00626847">
              <w:rPr>
                <w:rFonts w:ascii="Calibri" w:eastAsia="Calibri" w:hAnsi="Calibri" w:cs="Times New Roman"/>
                <w:sz w:val="16"/>
                <w:szCs w:val="16"/>
              </w:rPr>
              <w:t>Clear cell chondrosarcoma</w:t>
            </w:r>
          </w:p>
          <w:p w14:paraId="0E57D9D4" w14:textId="77777777" w:rsidR="00626847" w:rsidRPr="00626847" w:rsidRDefault="00626847" w:rsidP="00626847">
            <w:pPr>
              <w:spacing w:after="0" w:line="240" w:lineRule="auto"/>
              <w:ind w:left="754"/>
              <w:contextualSpacing/>
              <w:rPr>
                <w:rFonts w:ascii="Calibri" w:eastAsia="Calibri" w:hAnsi="Calibri" w:cs="Times New Roman"/>
                <w:sz w:val="16"/>
                <w:szCs w:val="16"/>
              </w:rPr>
            </w:pPr>
          </w:p>
          <w:p w14:paraId="0E57D9D5" w14:textId="77777777" w:rsidR="00626847" w:rsidRPr="00626847" w:rsidRDefault="00626847" w:rsidP="00626847">
            <w:pPr>
              <w:spacing w:after="80" w:line="240" w:lineRule="auto"/>
              <w:rPr>
                <w:rFonts w:ascii="Calibri" w:eastAsia="Calibri" w:hAnsi="Calibri" w:cs="Times New Roman"/>
                <w:sz w:val="16"/>
                <w:szCs w:val="16"/>
              </w:rPr>
            </w:pPr>
            <w:r w:rsidRPr="00626847">
              <w:rPr>
                <w:rFonts w:ascii="Calibri" w:eastAsia="Calibri" w:hAnsi="Calibri" w:cs="Times New Roman"/>
                <w:sz w:val="16"/>
                <w:szCs w:val="16"/>
              </w:rPr>
              <w:t>Grade 2 (intermediate grade):</w:t>
            </w:r>
          </w:p>
          <w:p w14:paraId="0E57D9D6" w14:textId="77777777" w:rsidR="00626847" w:rsidRPr="00626847" w:rsidRDefault="00626847" w:rsidP="003D276B">
            <w:pPr>
              <w:numPr>
                <w:ilvl w:val="0"/>
                <w:numId w:val="10"/>
              </w:numPr>
              <w:spacing w:after="120" w:line="240" w:lineRule="auto"/>
              <w:contextualSpacing/>
              <w:rPr>
                <w:rFonts w:ascii="Calibri" w:eastAsia="Calibri" w:hAnsi="Calibri" w:cs="Times New Roman"/>
                <w:sz w:val="16"/>
                <w:szCs w:val="16"/>
              </w:rPr>
            </w:pPr>
            <w:r w:rsidRPr="00626847">
              <w:rPr>
                <w:rFonts w:ascii="Calibri" w:eastAsia="Calibri" w:hAnsi="Calibri" w:cs="Times New Roman"/>
                <w:sz w:val="16"/>
                <w:szCs w:val="16"/>
              </w:rPr>
              <w:t>Periosteal osteosarcoma</w:t>
            </w:r>
          </w:p>
          <w:p w14:paraId="0E57D9D7" w14:textId="77777777" w:rsidR="00626847" w:rsidRPr="00626847" w:rsidRDefault="00626847" w:rsidP="00626847">
            <w:pPr>
              <w:spacing w:after="0" w:line="240" w:lineRule="auto"/>
              <w:ind w:left="754"/>
              <w:contextualSpacing/>
              <w:rPr>
                <w:rFonts w:ascii="Calibri" w:eastAsia="Calibri" w:hAnsi="Calibri" w:cs="Times New Roman"/>
                <w:sz w:val="16"/>
                <w:szCs w:val="16"/>
              </w:rPr>
            </w:pPr>
          </w:p>
          <w:p w14:paraId="0E57D9D8" w14:textId="77777777" w:rsidR="00626847" w:rsidRPr="00626847" w:rsidRDefault="00626847" w:rsidP="00626847">
            <w:pPr>
              <w:spacing w:after="80" w:line="240" w:lineRule="auto"/>
              <w:rPr>
                <w:rFonts w:ascii="Calibri" w:eastAsia="Calibri" w:hAnsi="Calibri" w:cs="Times New Roman"/>
                <w:sz w:val="16"/>
                <w:szCs w:val="16"/>
              </w:rPr>
            </w:pPr>
            <w:r w:rsidRPr="00626847">
              <w:rPr>
                <w:rFonts w:ascii="Calibri" w:eastAsia="Calibri" w:hAnsi="Calibri" w:cs="Times New Roman"/>
                <w:sz w:val="16"/>
                <w:szCs w:val="16"/>
              </w:rPr>
              <w:t>Grade 3 (high grade):</w:t>
            </w:r>
          </w:p>
          <w:p w14:paraId="0E57D9D9" w14:textId="77777777" w:rsidR="00626847" w:rsidRPr="00626847" w:rsidRDefault="00626847" w:rsidP="003D276B">
            <w:pPr>
              <w:numPr>
                <w:ilvl w:val="0"/>
                <w:numId w:val="10"/>
              </w:numPr>
              <w:spacing w:after="0" w:line="240" w:lineRule="auto"/>
              <w:contextualSpacing/>
              <w:rPr>
                <w:rFonts w:ascii="Calibri" w:eastAsia="Calibri" w:hAnsi="Calibri" w:cs="Times New Roman"/>
                <w:sz w:val="16"/>
                <w:szCs w:val="16"/>
              </w:rPr>
            </w:pPr>
            <w:r w:rsidRPr="00626847">
              <w:rPr>
                <w:rFonts w:ascii="Calibri" w:eastAsia="Calibri" w:hAnsi="Calibri" w:cs="Times New Roman"/>
                <w:sz w:val="16"/>
                <w:szCs w:val="16"/>
              </w:rPr>
              <w:t>Osteosarcoma (conventional, telangiectatic, small cell, secondary, high grade surface)</w:t>
            </w:r>
          </w:p>
          <w:p w14:paraId="0E57D9DA" w14:textId="77777777" w:rsidR="00626847" w:rsidRPr="00626847" w:rsidRDefault="00626847" w:rsidP="003D276B">
            <w:pPr>
              <w:numPr>
                <w:ilvl w:val="0"/>
                <w:numId w:val="10"/>
              </w:numPr>
              <w:spacing w:after="0" w:line="240" w:lineRule="auto"/>
              <w:contextualSpacing/>
              <w:rPr>
                <w:rFonts w:ascii="Calibri" w:eastAsia="Calibri" w:hAnsi="Calibri" w:cs="Times New Roman"/>
                <w:sz w:val="16"/>
                <w:szCs w:val="16"/>
              </w:rPr>
            </w:pPr>
            <w:r w:rsidRPr="00626847">
              <w:rPr>
                <w:rFonts w:ascii="Calibri" w:eastAsia="Calibri" w:hAnsi="Calibri" w:cs="Times New Roman"/>
                <w:sz w:val="16"/>
                <w:szCs w:val="16"/>
              </w:rPr>
              <w:t>Undifferentiated high grade pleomorphic sarcoma</w:t>
            </w:r>
          </w:p>
          <w:p w14:paraId="0E57D9DB" w14:textId="77777777" w:rsidR="00626847" w:rsidRPr="00626847" w:rsidRDefault="00626847" w:rsidP="003D276B">
            <w:pPr>
              <w:numPr>
                <w:ilvl w:val="0"/>
                <w:numId w:val="10"/>
              </w:numPr>
              <w:spacing w:after="0" w:line="240" w:lineRule="auto"/>
              <w:contextualSpacing/>
              <w:rPr>
                <w:rFonts w:ascii="Calibri" w:eastAsia="Calibri" w:hAnsi="Calibri" w:cs="Times New Roman"/>
                <w:sz w:val="16"/>
                <w:szCs w:val="16"/>
              </w:rPr>
            </w:pPr>
            <w:r w:rsidRPr="00626847">
              <w:rPr>
                <w:rFonts w:ascii="Calibri" w:eastAsia="Calibri" w:hAnsi="Calibri" w:cs="Times New Roman"/>
                <w:sz w:val="16"/>
                <w:szCs w:val="16"/>
              </w:rPr>
              <w:t>Ewing sarcoma and BCOR rearranged sarcoma</w:t>
            </w:r>
          </w:p>
          <w:p w14:paraId="0E57D9DC" w14:textId="77777777" w:rsidR="00626847" w:rsidRPr="00626847" w:rsidRDefault="00626847" w:rsidP="003D276B">
            <w:pPr>
              <w:numPr>
                <w:ilvl w:val="0"/>
                <w:numId w:val="10"/>
              </w:numPr>
              <w:spacing w:after="0" w:line="240" w:lineRule="auto"/>
              <w:contextualSpacing/>
              <w:rPr>
                <w:rFonts w:ascii="Calibri" w:eastAsia="Calibri" w:hAnsi="Calibri" w:cs="Times New Roman"/>
                <w:sz w:val="16"/>
                <w:szCs w:val="16"/>
              </w:rPr>
            </w:pPr>
            <w:r w:rsidRPr="00626847">
              <w:rPr>
                <w:rFonts w:ascii="Calibri" w:eastAsia="Calibri" w:hAnsi="Calibri" w:cs="Times New Roman"/>
                <w:sz w:val="16"/>
                <w:szCs w:val="16"/>
              </w:rPr>
              <w:t>Dedifferentiated chondrosarcoma</w:t>
            </w:r>
          </w:p>
          <w:p w14:paraId="0E57D9DD" w14:textId="77777777" w:rsidR="00626847" w:rsidRPr="00626847" w:rsidRDefault="00626847" w:rsidP="003D276B">
            <w:pPr>
              <w:numPr>
                <w:ilvl w:val="0"/>
                <w:numId w:val="10"/>
              </w:numPr>
              <w:spacing w:after="0" w:line="240" w:lineRule="auto"/>
              <w:contextualSpacing/>
              <w:rPr>
                <w:rFonts w:ascii="Calibri" w:eastAsia="Calibri" w:hAnsi="Calibri" w:cs="Times New Roman"/>
                <w:sz w:val="16"/>
                <w:szCs w:val="16"/>
              </w:rPr>
            </w:pPr>
            <w:r w:rsidRPr="00626847">
              <w:rPr>
                <w:rFonts w:ascii="Calibri" w:eastAsia="Calibri" w:hAnsi="Calibri" w:cs="Times New Roman"/>
                <w:sz w:val="16"/>
                <w:szCs w:val="16"/>
              </w:rPr>
              <w:t>Mesenchymal chondrosarcoma</w:t>
            </w:r>
          </w:p>
          <w:p w14:paraId="0E57D9DE" w14:textId="77777777" w:rsidR="00626847" w:rsidRPr="00626847" w:rsidRDefault="00626847" w:rsidP="003D276B">
            <w:pPr>
              <w:numPr>
                <w:ilvl w:val="0"/>
                <w:numId w:val="10"/>
              </w:numPr>
              <w:spacing w:after="0" w:line="240" w:lineRule="auto"/>
              <w:contextualSpacing/>
              <w:rPr>
                <w:rFonts w:ascii="Calibri" w:eastAsia="Calibri" w:hAnsi="Calibri" w:cs="Times New Roman"/>
                <w:sz w:val="16"/>
                <w:szCs w:val="16"/>
              </w:rPr>
            </w:pPr>
            <w:r w:rsidRPr="00626847">
              <w:rPr>
                <w:rFonts w:ascii="Calibri" w:eastAsia="Calibri" w:hAnsi="Calibri" w:cs="Times New Roman"/>
                <w:sz w:val="16"/>
                <w:szCs w:val="16"/>
              </w:rPr>
              <w:t>Dedifferentiated chordoma</w:t>
            </w:r>
          </w:p>
          <w:p w14:paraId="0E57D9DF" w14:textId="77777777" w:rsidR="00626847" w:rsidRPr="00626847" w:rsidRDefault="00626847" w:rsidP="003D276B">
            <w:pPr>
              <w:numPr>
                <w:ilvl w:val="0"/>
                <w:numId w:val="10"/>
              </w:numPr>
              <w:spacing w:after="0" w:line="240" w:lineRule="auto"/>
              <w:contextualSpacing/>
              <w:rPr>
                <w:rFonts w:ascii="Calibri" w:eastAsia="Calibri" w:hAnsi="Calibri" w:cs="Times New Roman"/>
                <w:sz w:val="16"/>
                <w:szCs w:val="16"/>
              </w:rPr>
            </w:pPr>
            <w:r w:rsidRPr="00626847">
              <w:rPr>
                <w:rFonts w:ascii="Calibri" w:eastAsia="Calibri" w:hAnsi="Calibri" w:cs="Times New Roman"/>
                <w:sz w:val="16"/>
                <w:szCs w:val="16"/>
              </w:rPr>
              <w:t>Poorly differentiated chordoma</w:t>
            </w:r>
          </w:p>
          <w:p w14:paraId="0E57D9E0" w14:textId="77777777" w:rsidR="00626847" w:rsidRPr="00626847" w:rsidRDefault="00626847" w:rsidP="003D276B">
            <w:pPr>
              <w:numPr>
                <w:ilvl w:val="0"/>
                <w:numId w:val="10"/>
              </w:numPr>
              <w:spacing w:after="120" w:line="240" w:lineRule="auto"/>
              <w:contextualSpacing/>
              <w:rPr>
                <w:rFonts w:ascii="Calibri" w:eastAsia="Calibri" w:hAnsi="Calibri" w:cs="Times New Roman"/>
                <w:sz w:val="16"/>
                <w:szCs w:val="16"/>
              </w:rPr>
            </w:pPr>
            <w:r w:rsidRPr="00626847">
              <w:rPr>
                <w:rFonts w:ascii="Calibri" w:eastAsia="Calibri" w:hAnsi="Calibri" w:cs="Times New Roman"/>
                <w:sz w:val="16"/>
                <w:szCs w:val="16"/>
              </w:rPr>
              <w:t xml:space="preserve">Angiosarcoma </w:t>
            </w:r>
          </w:p>
          <w:p w14:paraId="0E57D9E1" w14:textId="77777777" w:rsidR="00626847" w:rsidRPr="00626847" w:rsidRDefault="00626847" w:rsidP="00626847">
            <w:pPr>
              <w:spacing w:after="0" w:line="240" w:lineRule="auto"/>
              <w:ind w:left="754"/>
              <w:contextualSpacing/>
              <w:rPr>
                <w:rFonts w:ascii="Calibri" w:eastAsia="Calibri" w:hAnsi="Calibri" w:cs="Times New Roman"/>
                <w:sz w:val="16"/>
                <w:szCs w:val="16"/>
              </w:rPr>
            </w:pPr>
          </w:p>
          <w:p w14:paraId="0E57D9E2" w14:textId="77777777" w:rsidR="00626847" w:rsidRPr="00626847" w:rsidRDefault="00626847" w:rsidP="00626847">
            <w:pPr>
              <w:spacing w:after="80" w:line="240" w:lineRule="auto"/>
              <w:rPr>
                <w:rFonts w:ascii="Calibri" w:eastAsia="Calibri" w:hAnsi="Calibri" w:cs="Times New Roman"/>
                <w:sz w:val="16"/>
                <w:szCs w:val="16"/>
              </w:rPr>
            </w:pPr>
            <w:r w:rsidRPr="00626847">
              <w:rPr>
                <w:rFonts w:ascii="Calibri" w:eastAsia="Calibri" w:hAnsi="Calibri" w:cs="Times New Roman"/>
                <w:sz w:val="16"/>
                <w:szCs w:val="16"/>
              </w:rPr>
              <w:t xml:space="preserve">Variable: </w:t>
            </w:r>
          </w:p>
          <w:p w14:paraId="0E57D9E3" w14:textId="77777777" w:rsidR="00626847" w:rsidRPr="00626847" w:rsidRDefault="00626847" w:rsidP="003D276B">
            <w:pPr>
              <w:numPr>
                <w:ilvl w:val="0"/>
                <w:numId w:val="11"/>
              </w:numPr>
              <w:spacing w:after="0" w:line="240" w:lineRule="auto"/>
              <w:contextualSpacing/>
              <w:rPr>
                <w:rFonts w:ascii="Calibri" w:eastAsia="Calibri" w:hAnsi="Calibri" w:cs="Times New Roman"/>
                <w:sz w:val="16"/>
                <w:szCs w:val="16"/>
              </w:rPr>
            </w:pPr>
            <w:r w:rsidRPr="00626847">
              <w:rPr>
                <w:rFonts w:ascii="Calibri" w:eastAsia="Calibri" w:hAnsi="Calibri" w:cs="Times New Roman"/>
                <w:sz w:val="16"/>
                <w:szCs w:val="16"/>
              </w:rPr>
              <w:t>Conventional chondrosarcoma (Grade 1-3 according to Evans)</w:t>
            </w:r>
            <w:r w:rsidRPr="00626847">
              <w:rPr>
                <w:rFonts w:ascii="Calibri" w:eastAsia="Calibri" w:hAnsi="Calibri" w:cs="Times New Roman"/>
                <w:sz w:val="16"/>
                <w:szCs w:val="16"/>
              </w:rPr>
              <w:fldChar w:fldCharType="begin">
                <w:fldData xml:space="preserve">PEVuZE5vdGU+PENpdGU+PEF1dGhvcj5FdmFuczwvQXV0aG9yPjxZZWFyPjE5Nzc8L1llYXI+PFJl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=
</w:fldData>
              </w:fldChar>
            </w:r>
            <w:r w:rsidRPr="00626847">
              <w:rPr>
                <w:rFonts w:ascii="Calibri" w:eastAsia="Calibri" w:hAnsi="Calibri" w:cs="Times New Roman"/>
                <w:sz w:val="16"/>
                <w:szCs w:val="16"/>
              </w:rPr>
              <w:instrText xml:space="preserve"> ADDIN EN.CITE </w:instrText>
            </w:r>
            <w:r w:rsidRPr="00626847">
              <w:rPr>
                <w:rFonts w:ascii="Calibri" w:eastAsia="Calibri" w:hAnsi="Calibri" w:cs="Times New Roman"/>
                <w:sz w:val="16"/>
                <w:szCs w:val="16"/>
              </w:rPr>
              <w:fldChar w:fldCharType="begin">
                <w:fldData xml:space="preserve">PEVuZE5vdGU+PENpdGU+PEF1dGhvcj5FdmFuczwvQXV0aG9yPjxZZWFyPjE5Nzc8L1llYXI+PFJl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=
</w:fldData>
              </w:fldChar>
            </w:r>
            <w:r w:rsidRPr="00626847">
              <w:rPr>
                <w:rFonts w:ascii="Calibri" w:eastAsia="Calibri" w:hAnsi="Calibri" w:cs="Times New Roman"/>
                <w:sz w:val="16"/>
                <w:szCs w:val="16"/>
              </w:rPr>
              <w:instrText xml:space="preserve"> ADDIN EN.CITE.DATA </w:instrText>
            </w:r>
            <w:r w:rsidRPr="00626847">
              <w:rPr>
                <w:rFonts w:ascii="Calibri" w:eastAsia="Calibri" w:hAnsi="Calibri" w:cs="Times New Roman"/>
                <w:sz w:val="16"/>
                <w:szCs w:val="16"/>
              </w:rPr>
            </w:r>
            <w:r w:rsidRPr="00626847">
              <w:rPr>
                <w:rFonts w:ascii="Calibri" w:eastAsia="Calibri" w:hAnsi="Calibri" w:cs="Times New Roman"/>
                <w:sz w:val="16"/>
                <w:szCs w:val="16"/>
              </w:rPr>
              <w:fldChar w:fldCharType="end"/>
            </w:r>
            <w:r w:rsidRPr="00626847">
              <w:rPr>
                <w:rFonts w:ascii="Calibri" w:eastAsia="Calibri" w:hAnsi="Calibri" w:cs="Times New Roman"/>
                <w:sz w:val="16"/>
                <w:szCs w:val="16"/>
              </w:rPr>
            </w:r>
            <w:r w:rsidRPr="00626847">
              <w:rPr>
                <w:rFonts w:ascii="Calibri" w:eastAsia="Calibri" w:hAnsi="Calibri" w:cs="Times New Roman"/>
                <w:sz w:val="16"/>
                <w:szCs w:val="16"/>
              </w:rPr>
              <w:fldChar w:fldCharType="separate"/>
            </w:r>
            <w:r w:rsidRPr="00626847">
              <w:rPr>
                <w:rFonts w:ascii="Calibri" w:eastAsia="Calibri" w:hAnsi="Calibri" w:cs="Times New Roman"/>
                <w:noProof/>
                <w:sz w:val="16"/>
                <w:szCs w:val="16"/>
                <w:vertAlign w:val="superscript"/>
              </w:rPr>
              <w:t>1,2</w:t>
            </w:r>
            <w:r w:rsidRPr="00626847">
              <w:rPr>
                <w:rFonts w:ascii="Calibri" w:eastAsia="Calibri" w:hAnsi="Calibri" w:cs="Times New Roman"/>
                <w:sz w:val="16"/>
                <w:szCs w:val="16"/>
              </w:rPr>
              <w:fldChar w:fldCharType="end"/>
            </w:r>
          </w:p>
          <w:p w14:paraId="0E57D9E4" w14:textId="77777777" w:rsidR="00626847" w:rsidRPr="00626847" w:rsidRDefault="00626847" w:rsidP="003D276B">
            <w:pPr>
              <w:numPr>
                <w:ilvl w:val="0"/>
                <w:numId w:val="11"/>
              </w:numPr>
              <w:spacing w:after="0" w:line="240" w:lineRule="auto"/>
              <w:contextualSpacing/>
              <w:rPr>
                <w:rFonts w:ascii="Calibri" w:eastAsia="Calibri" w:hAnsi="Calibri" w:cs="Times New Roman"/>
                <w:sz w:val="16"/>
                <w:szCs w:val="16"/>
              </w:rPr>
            </w:pPr>
            <w:r w:rsidRPr="00626847">
              <w:rPr>
                <w:rFonts w:ascii="Calibri" w:eastAsia="Calibri" w:hAnsi="Calibri" w:cs="Times New Roman"/>
                <w:sz w:val="16"/>
                <w:szCs w:val="16"/>
              </w:rPr>
              <w:t>Leiomyosarcoma of bone (Grade 1-3, no established grading system)</w:t>
            </w:r>
          </w:p>
          <w:p w14:paraId="0E57D9E5" w14:textId="77777777" w:rsidR="00626847" w:rsidRPr="00626847" w:rsidRDefault="00626847" w:rsidP="003D276B">
            <w:pPr>
              <w:numPr>
                <w:ilvl w:val="0"/>
                <w:numId w:val="11"/>
              </w:numPr>
              <w:spacing w:line="240" w:lineRule="auto"/>
              <w:contextualSpacing/>
              <w:rPr>
                <w:rFonts w:ascii="Calibri" w:eastAsia="Calibri" w:hAnsi="Calibri" w:cs="Times New Roman"/>
                <w:sz w:val="16"/>
                <w:szCs w:val="16"/>
              </w:rPr>
            </w:pPr>
            <w:r w:rsidRPr="00626847">
              <w:rPr>
                <w:rFonts w:ascii="Calibri" w:eastAsia="Calibri" w:hAnsi="Calibri" w:cs="Times New Roman"/>
                <w:sz w:val="16"/>
                <w:szCs w:val="16"/>
              </w:rPr>
              <w:t>Low and high grade malignancy may occur in giant cell tumour of bone</w:t>
            </w:r>
          </w:p>
          <w:p w14:paraId="0E57D9E6" w14:textId="77777777" w:rsidR="00626847" w:rsidRPr="00626847" w:rsidRDefault="00626847" w:rsidP="00626847">
            <w:pPr>
              <w:spacing w:after="0" w:line="240" w:lineRule="auto"/>
              <w:ind w:left="754"/>
              <w:contextualSpacing/>
              <w:rPr>
                <w:rFonts w:ascii="Calibri" w:eastAsia="Calibri" w:hAnsi="Calibri" w:cs="Times New Roman"/>
                <w:sz w:val="16"/>
                <w:szCs w:val="16"/>
              </w:rPr>
            </w:pPr>
          </w:p>
          <w:p w14:paraId="0E57D9E7" w14:textId="77777777" w:rsidR="00626847" w:rsidRPr="00626847" w:rsidRDefault="00626847" w:rsidP="00626847">
            <w:pPr>
              <w:spacing w:after="80" w:line="240" w:lineRule="auto"/>
              <w:rPr>
                <w:rFonts w:ascii="Calibri" w:eastAsia="Calibri" w:hAnsi="Calibri" w:cs="Times New Roman"/>
                <w:sz w:val="16"/>
                <w:szCs w:val="16"/>
              </w:rPr>
            </w:pPr>
            <w:r w:rsidRPr="00626847">
              <w:rPr>
                <w:rFonts w:ascii="Calibri" w:eastAsia="Calibri" w:hAnsi="Calibri" w:cs="Times New Roman"/>
                <w:sz w:val="16"/>
                <w:szCs w:val="16"/>
              </w:rPr>
              <w:t>Not applicable:</w:t>
            </w:r>
          </w:p>
          <w:p w14:paraId="0E57D9E8" w14:textId="77777777" w:rsidR="00626847" w:rsidRPr="00626847" w:rsidRDefault="00626847" w:rsidP="003D276B">
            <w:pPr>
              <w:numPr>
                <w:ilvl w:val="0"/>
                <w:numId w:val="12"/>
              </w:numPr>
              <w:spacing w:line="240" w:lineRule="auto"/>
              <w:contextualSpacing/>
              <w:rPr>
                <w:rFonts w:ascii="Calibri" w:eastAsia="Calibri" w:hAnsi="Calibri" w:cs="Times New Roman"/>
                <w:sz w:val="16"/>
                <w:szCs w:val="16"/>
              </w:rPr>
            </w:pPr>
            <w:r w:rsidRPr="00626847">
              <w:rPr>
                <w:rFonts w:ascii="Calibri" w:eastAsia="Calibri" w:hAnsi="Calibri" w:cs="Times New Roman"/>
                <w:sz w:val="16"/>
                <w:szCs w:val="16"/>
              </w:rPr>
              <w:t>Adamantinoma and conventional chordoma.</w:t>
            </w:r>
          </w:p>
          <w:p w14:paraId="0E57D9E9" w14:textId="77777777" w:rsidR="00626847" w:rsidRDefault="00626847" w:rsidP="00626847">
            <w:pPr>
              <w:spacing w:after="0" w:line="240" w:lineRule="auto"/>
              <w:rPr>
                <w:rFonts w:ascii="Calibri" w:eastAsia="Calibri" w:hAnsi="Calibri" w:cs="Times New Roman"/>
                <w:b/>
                <w:sz w:val="16"/>
                <w:szCs w:val="16"/>
              </w:rPr>
            </w:pPr>
          </w:p>
          <w:p w14:paraId="0E57D9EA" w14:textId="77777777" w:rsidR="00626847" w:rsidRPr="00626847" w:rsidRDefault="00626847" w:rsidP="00626847">
            <w:pPr>
              <w:spacing w:after="0" w:line="240" w:lineRule="auto"/>
              <w:rPr>
                <w:rFonts w:ascii="Calibri" w:eastAsia="Calibri" w:hAnsi="Calibri" w:cs="Times New Roman"/>
                <w:b/>
                <w:sz w:val="16"/>
                <w:szCs w:val="16"/>
              </w:rPr>
            </w:pPr>
            <w:r w:rsidRPr="00626847">
              <w:rPr>
                <w:rFonts w:ascii="Calibri" w:eastAsia="Calibri" w:hAnsi="Calibri" w:cs="Times New Roman"/>
                <w:b/>
                <w:sz w:val="16"/>
                <w:szCs w:val="16"/>
              </w:rPr>
              <w:t>References</w:t>
            </w:r>
          </w:p>
          <w:p w14:paraId="0E57D9EB" w14:textId="77777777" w:rsidR="00626847" w:rsidRPr="00626847" w:rsidRDefault="00626847" w:rsidP="005230C9">
            <w:pPr>
              <w:spacing w:after="0" w:line="240" w:lineRule="auto"/>
              <w:ind w:left="176" w:hanging="176"/>
              <w:rPr>
                <w:rFonts w:ascii="Calibri" w:eastAsia="Calibri" w:hAnsi="Calibri" w:cs="Times New Roman"/>
                <w:noProof/>
                <w:sz w:val="16"/>
                <w:szCs w:val="16"/>
                <w:lang w:val="en-US"/>
              </w:rPr>
            </w:pPr>
            <w:r w:rsidRPr="00626847">
              <w:rPr>
                <w:rFonts w:ascii="Calibri" w:eastAsia="Calibri" w:hAnsi="Calibri" w:cs="Times New Roman"/>
                <w:noProof/>
                <w:sz w:val="16"/>
                <w:szCs w:val="16"/>
                <w:lang w:val="en-US"/>
              </w:rPr>
              <w:fldChar w:fldCharType="begin"/>
            </w:r>
            <w:r w:rsidRPr="00626847">
              <w:rPr>
                <w:rFonts w:ascii="Calibri" w:eastAsia="Calibri" w:hAnsi="Calibri" w:cs="Times New Roman"/>
                <w:noProof/>
                <w:sz w:val="16"/>
                <w:szCs w:val="16"/>
                <w:lang w:val="en-US"/>
              </w:rPr>
              <w:instrText xml:space="preserve"> ADDIN EN.REFLIST </w:instrText>
            </w:r>
            <w:r w:rsidRPr="00626847">
              <w:rPr>
                <w:rFonts w:ascii="Calibri" w:eastAsia="Calibri" w:hAnsi="Calibri" w:cs="Times New Roman"/>
                <w:noProof/>
                <w:sz w:val="16"/>
                <w:szCs w:val="16"/>
                <w:lang w:val="en-US"/>
              </w:rPr>
              <w:fldChar w:fldCharType="separate"/>
            </w:r>
            <w:r w:rsidRPr="00626847">
              <w:rPr>
                <w:rFonts w:ascii="Calibri" w:eastAsia="Calibri" w:hAnsi="Calibri" w:cs="Times New Roman"/>
                <w:noProof/>
                <w:sz w:val="16"/>
                <w:szCs w:val="16"/>
                <w:lang w:val="en-US"/>
              </w:rPr>
              <w:t>1</w:t>
            </w:r>
            <w:r w:rsidRPr="00626847">
              <w:rPr>
                <w:rFonts w:ascii="Calibri" w:eastAsia="Calibri" w:hAnsi="Calibri" w:cs="Times New Roman"/>
                <w:noProof/>
                <w:sz w:val="16"/>
                <w:szCs w:val="16"/>
                <w:lang w:val="en-US"/>
              </w:rPr>
              <w:tab/>
            </w:r>
            <w:r w:rsidRPr="00626847">
              <w:rPr>
                <w:rFonts w:ascii="Calibri" w:eastAsia="Calibri" w:hAnsi="Calibri" w:cs="Segoe UI"/>
                <w:noProof/>
                <w:sz w:val="16"/>
                <w:szCs w:val="16"/>
                <w:lang w:val="en-US" w:eastAsia="en-AU"/>
              </w:rPr>
              <w:t>WHO Classification of Tumours Editorial Board</w:t>
            </w:r>
            <w:r w:rsidRPr="00626847">
              <w:rPr>
                <w:rFonts w:ascii="Calibri" w:eastAsia="Calibri" w:hAnsi="Calibri" w:cs="Times New Roman"/>
                <w:noProof/>
                <w:sz w:val="16"/>
                <w:szCs w:val="16"/>
                <w:lang w:val="en-US"/>
              </w:rPr>
              <w:t xml:space="preserve"> (2020). </w:t>
            </w:r>
            <w:r w:rsidRPr="00626847">
              <w:rPr>
                <w:rFonts w:ascii="Calibri" w:eastAsia="Calibri" w:hAnsi="Calibri" w:cs="Times New Roman"/>
                <w:i/>
                <w:noProof/>
                <w:sz w:val="16"/>
                <w:szCs w:val="16"/>
                <w:lang w:val="en-US"/>
              </w:rPr>
              <w:t>Soft Tissue and Bone Tumours. WHO Classification of Tumours, 5th Edition, Volume 3</w:t>
            </w:r>
            <w:r w:rsidRPr="00626847">
              <w:rPr>
                <w:rFonts w:ascii="Calibri" w:eastAsia="Calibri" w:hAnsi="Calibri" w:cs="Times New Roman"/>
                <w:noProof/>
                <w:sz w:val="16"/>
                <w:szCs w:val="16"/>
                <w:lang w:val="en-US"/>
              </w:rPr>
              <w:t>. IARC Publications, Lyon.</w:t>
            </w:r>
          </w:p>
          <w:p w14:paraId="0E57D9EC" w14:textId="77777777" w:rsidR="00EE142C" w:rsidRPr="00626847" w:rsidRDefault="00626847" w:rsidP="005230C9">
            <w:pPr>
              <w:spacing w:after="0" w:line="240" w:lineRule="auto"/>
              <w:ind w:left="176" w:hanging="176"/>
              <w:rPr>
                <w:rFonts w:ascii="Calibri" w:eastAsia="Calibri" w:hAnsi="Calibri" w:cs="Times New Roman"/>
                <w:sz w:val="16"/>
                <w:szCs w:val="16"/>
              </w:rPr>
            </w:pPr>
            <w:r>
              <w:rPr>
                <w:rFonts w:ascii="Calibri" w:eastAsia="Calibri" w:hAnsi="Calibri" w:cs="Times New Roman"/>
                <w:noProof/>
                <w:sz w:val="16"/>
                <w:szCs w:val="16"/>
                <w:lang w:val="en-US"/>
              </w:rPr>
              <w:lastRenderedPageBreak/>
              <w:t xml:space="preserve">2   </w:t>
            </w:r>
            <w:r w:rsidRPr="00626847">
              <w:rPr>
                <w:rFonts w:ascii="Calibri" w:eastAsia="Calibri" w:hAnsi="Calibri" w:cs="Times New Roman"/>
                <w:noProof/>
                <w:sz w:val="16"/>
                <w:szCs w:val="16"/>
                <w:lang w:val="en-US"/>
              </w:rPr>
              <w:t xml:space="preserve">Evans HL, Ayala AG and Romsdahl MM (1977). Prognostic factors in chondrosarcoma of bone: a clinicopathologic analysis with emphasis on histologic grading. </w:t>
            </w:r>
            <w:r w:rsidRPr="00626847">
              <w:rPr>
                <w:rFonts w:ascii="Calibri" w:eastAsia="Calibri" w:hAnsi="Calibri" w:cs="Times New Roman"/>
                <w:i/>
                <w:noProof/>
                <w:sz w:val="16"/>
                <w:szCs w:val="16"/>
                <w:lang w:val="en-US"/>
              </w:rPr>
              <w:t>Cancer</w:t>
            </w:r>
            <w:r w:rsidRPr="00626847">
              <w:rPr>
                <w:rFonts w:ascii="Calibri" w:eastAsia="Calibri" w:hAnsi="Calibri" w:cs="Times New Roman"/>
                <w:noProof/>
                <w:sz w:val="16"/>
                <w:szCs w:val="16"/>
                <w:lang w:val="en-US"/>
              </w:rPr>
              <w:t xml:space="preserve"> 40(2):818-831.</w:t>
            </w:r>
            <w:r w:rsidRPr="00626847">
              <w:rPr>
                <w:rFonts w:ascii="Calibri" w:eastAsia="Calibri" w:hAnsi="Calibri" w:cs="Times New Roman"/>
                <w:sz w:val="16"/>
                <w:szCs w:val="16"/>
              </w:rPr>
              <w:fldChar w:fldCharType="end"/>
            </w:r>
          </w:p>
        </w:tc>
        <w:tc>
          <w:tcPr>
            <w:tcW w:w="1701" w:type="dxa"/>
            <w:tcBorders>
              <w:top w:val="nil"/>
              <w:left w:val="nil"/>
              <w:bottom w:val="single" w:sz="4" w:space="0" w:color="auto"/>
              <w:right w:val="single" w:sz="4" w:space="0" w:color="auto"/>
            </w:tcBorders>
            <w:shd w:val="clear" w:color="auto" w:fill="auto"/>
          </w:tcPr>
          <w:p w14:paraId="0E57D9ED" w14:textId="77777777" w:rsidR="00594B08" w:rsidRPr="00E0702C" w:rsidRDefault="00594B08" w:rsidP="003D6838">
            <w:pPr>
              <w:spacing w:after="0"/>
              <w:rPr>
                <w:rFonts w:ascii="Calibri" w:hAnsi="Calibri"/>
                <w:i/>
                <w:color w:val="000000"/>
                <w:sz w:val="16"/>
                <w:szCs w:val="16"/>
              </w:rPr>
            </w:pPr>
          </w:p>
        </w:tc>
      </w:tr>
      <w:tr w:rsidR="005E3DBD" w:rsidRPr="00CC5E7C" w14:paraId="0E57D9F7" w14:textId="77777777" w:rsidTr="00BD7708">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0E57D9EF" w14:textId="77777777" w:rsidR="005E3DBD" w:rsidRPr="00AC0018" w:rsidRDefault="00816D9C" w:rsidP="00816D9C">
            <w:pPr>
              <w:spacing w:after="0"/>
              <w:rPr>
                <w:rFonts w:ascii="Calibri" w:hAnsi="Calibri"/>
                <w:color w:val="A6A6A6" w:themeColor="background1" w:themeShade="A6"/>
                <w:sz w:val="16"/>
                <w:szCs w:val="16"/>
              </w:rPr>
            </w:pPr>
            <w:r w:rsidRPr="0004291C">
              <w:rPr>
                <w:rFonts w:ascii="Calibri" w:hAnsi="Calibri"/>
                <w:sz w:val="16"/>
                <w:szCs w:val="16"/>
              </w:rPr>
              <w:t>Non-c</w:t>
            </w:r>
            <w:r w:rsidR="005E3DBD" w:rsidRPr="0004291C">
              <w:rPr>
                <w:rFonts w:ascii="Calibri" w:hAnsi="Calibri"/>
                <w:sz w:val="16"/>
                <w:szCs w:val="16"/>
              </w:rPr>
              <w:t>ore</w:t>
            </w:r>
          </w:p>
        </w:tc>
        <w:tc>
          <w:tcPr>
            <w:tcW w:w="1559" w:type="dxa"/>
            <w:tcBorders>
              <w:top w:val="nil"/>
              <w:left w:val="nil"/>
              <w:bottom w:val="single" w:sz="4" w:space="0" w:color="auto"/>
              <w:right w:val="single" w:sz="4" w:space="0" w:color="auto"/>
            </w:tcBorders>
            <w:shd w:val="clear" w:color="000000" w:fill="EEECE1"/>
          </w:tcPr>
          <w:p w14:paraId="0E57D9F0" w14:textId="77777777" w:rsidR="005E3DBD" w:rsidRPr="000936EF" w:rsidRDefault="00816D9C" w:rsidP="00273145">
            <w:pPr>
              <w:rPr>
                <w:rFonts w:ascii="Calibri" w:hAnsi="Calibri"/>
                <w:bCs/>
                <w:color w:val="808080" w:themeColor="background1" w:themeShade="80"/>
                <w:sz w:val="16"/>
                <w:szCs w:val="16"/>
              </w:rPr>
            </w:pPr>
            <w:r w:rsidRPr="000936EF">
              <w:rPr>
                <w:rFonts w:ascii="Calibri" w:hAnsi="Calibri"/>
                <w:bCs/>
                <w:color w:val="808080" w:themeColor="background1" w:themeShade="80"/>
                <w:sz w:val="16"/>
                <w:szCs w:val="16"/>
              </w:rPr>
              <w:t>NECROSIS</w:t>
            </w:r>
          </w:p>
        </w:tc>
        <w:tc>
          <w:tcPr>
            <w:tcW w:w="2835" w:type="dxa"/>
            <w:tcBorders>
              <w:top w:val="nil"/>
              <w:left w:val="nil"/>
              <w:bottom w:val="single" w:sz="4" w:space="0" w:color="auto"/>
              <w:right w:val="single" w:sz="4" w:space="0" w:color="auto"/>
            </w:tcBorders>
            <w:shd w:val="clear" w:color="auto" w:fill="auto"/>
          </w:tcPr>
          <w:p w14:paraId="0E57D9F1" w14:textId="77777777" w:rsidR="00816D9C" w:rsidRPr="000936EF" w:rsidRDefault="00816D9C" w:rsidP="003D276B">
            <w:pPr>
              <w:pStyle w:val="ListParagraph"/>
              <w:numPr>
                <w:ilvl w:val="0"/>
                <w:numId w:val="13"/>
              </w:numPr>
              <w:autoSpaceDE w:val="0"/>
              <w:autoSpaceDN w:val="0"/>
              <w:adjustRightInd w:val="0"/>
              <w:spacing w:after="0" w:line="240" w:lineRule="auto"/>
              <w:ind w:left="176" w:hanging="142"/>
              <w:rPr>
                <w:color w:val="808080" w:themeColor="background1" w:themeShade="80"/>
                <w:sz w:val="16"/>
                <w:szCs w:val="16"/>
              </w:rPr>
            </w:pPr>
            <w:r w:rsidRPr="000936EF">
              <w:rPr>
                <w:color w:val="808080" w:themeColor="background1" w:themeShade="80"/>
                <w:sz w:val="16"/>
                <w:szCs w:val="16"/>
              </w:rPr>
              <w:t>Cannot be assessed</w:t>
            </w:r>
          </w:p>
          <w:p w14:paraId="0E57D9F2" w14:textId="77777777" w:rsidR="00816D9C" w:rsidRPr="000936EF" w:rsidRDefault="00816D9C" w:rsidP="003D276B">
            <w:pPr>
              <w:pStyle w:val="ListParagraph"/>
              <w:numPr>
                <w:ilvl w:val="0"/>
                <w:numId w:val="13"/>
              </w:numPr>
              <w:autoSpaceDE w:val="0"/>
              <w:autoSpaceDN w:val="0"/>
              <w:adjustRightInd w:val="0"/>
              <w:spacing w:after="0" w:line="240" w:lineRule="auto"/>
              <w:ind w:left="176" w:hanging="142"/>
              <w:rPr>
                <w:color w:val="808080" w:themeColor="background1" w:themeShade="80"/>
                <w:sz w:val="16"/>
                <w:szCs w:val="16"/>
              </w:rPr>
            </w:pPr>
            <w:r w:rsidRPr="000936EF">
              <w:rPr>
                <w:rFonts w:cs="Verdana"/>
                <w:color w:val="808080" w:themeColor="background1" w:themeShade="80"/>
                <w:sz w:val="16"/>
                <w:szCs w:val="16"/>
              </w:rPr>
              <w:t>Not identified</w:t>
            </w:r>
          </w:p>
          <w:p w14:paraId="0E57D9F3" w14:textId="77777777" w:rsidR="005E3DBD" w:rsidRPr="00816D9C" w:rsidRDefault="00816D9C" w:rsidP="003D276B">
            <w:pPr>
              <w:pStyle w:val="ListParagraph"/>
              <w:numPr>
                <w:ilvl w:val="0"/>
                <w:numId w:val="13"/>
              </w:numPr>
              <w:autoSpaceDE w:val="0"/>
              <w:autoSpaceDN w:val="0"/>
              <w:adjustRightInd w:val="0"/>
              <w:spacing w:after="0" w:line="240" w:lineRule="auto"/>
              <w:ind w:left="176" w:hanging="142"/>
              <w:rPr>
                <w:rFonts w:ascii="Calibri" w:hAnsi="Calibri"/>
                <w:color w:val="000000"/>
                <w:sz w:val="16"/>
                <w:szCs w:val="16"/>
              </w:rPr>
            </w:pPr>
            <w:r w:rsidRPr="000936EF">
              <w:rPr>
                <w:rFonts w:cs="Verdana"/>
                <w:color w:val="808080" w:themeColor="background1" w:themeShade="80"/>
                <w:sz w:val="16"/>
                <w:szCs w:val="16"/>
              </w:rPr>
              <w:t>Present   ___%</w:t>
            </w:r>
          </w:p>
        </w:tc>
        <w:tc>
          <w:tcPr>
            <w:tcW w:w="8222" w:type="dxa"/>
            <w:tcBorders>
              <w:top w:val="nil"/>
              <w:left w:val="nil"/>
              <w:bottom w:val="single" w:sz="4" w:space="0" w:color="auto"/>
              <w:right w:val="single" w:sz="4" w:space="0" w:color="auto"/>
            </w:tcBorders>
            <w:shd w:val="clear" w:color="auto" w:fill="auto"/>
          </w:tcPr>
          <w:p w14:paraId="0E57D9F4" w14:textId="77777777" w:rsidR="00106A56" w:rsidRPr="00106A56" w:rsidRDefault="00106A56" w:rsidP="00106A56">
            <w:pPr>
              <w:spacing w:after="0" w:line="240" w:lineRule="auto"/>
              <w:rPr>
                <w:color w:val="000000"/>
                <w:sz w:val="16"/>
                <w:szCs w:val="16"/>
              </w:rPr>
            </w:pPr>
            <w:r w:rsidRPr="00106A56">
              <w:rPr>
                <w:color w:val="000000"/>
                <w:sz w:val="16"/>
                <w:szCs w:val="16"/>
              </w:rPr>
              <w:t xml:space="preserve">Necrosis in biopsy specimens where the patient has not received neoadjuvant treatment should be documented, especially if necrosis is abundant hampering microscopic evaluation of the tumour. </w:t>
            </w:r>
          </w:p>
          <w:p w14:paraId="0E57D9F5" w14:textId="77777777" w:rsidR="005E3DBD" w:rsidRPr="00847856" w:rsidRDefault="005E3DBD" w:rsidP="007F0795">
            <w:pPr>
              <w:spacing w:after="0" w:line="240" w:lineRule="auto"/>
              <w:rPr>
                <w:color w:val="000000"/>
                <w:sz w:val="16"/>
                <w:szCs w:val="16"/>
              </w:rPr>
            </w:pPr>
          </w:p>
        </w:tc>
        <w:tc>
          <w:tcPr>
            <w:tcW w:w="1701" w:type="dxa"/>
            <w:tcBorders>
              <w:top w:val="nil"/>
              <w:left w:val="nil"/>
              <w:bottom w:val="single" w:sz="4" w:space="0" w:color="auto"/>
              <w:right w:val="single" w:sz="4" w:space="0" w:color="auto"/>
            </w:tcBorders>
            <w:shd w:val="clear" w:color="auto" w:fill="auto"/>
          </w:tcPr>
          <w:p w14:paraId="0E57D9F6" w14:textId="77777777" w:rsidR="005E3DBD" w:rsidRPr="00FC3379" w:rsidRDefault="005E3DBD" w:rsidP="00FC3379">
            <w:pPr>
              <w:spacing w:after="0"/>
              <w:rPr>
                <w:rFonts w:ascii="Calibri" w:hAnsi="Calibri"/>
                <w:color w:val="000000"/>
                <w:sz w:val="16"/>
                <w:szCs w:val="16"/>
              </w:rPr>
            </w:pPr>
          </w:p>
        </w:tc>
      </w:tr>
      <w:tr w:rsidR="00832A75" w:rsidRPr="00CC5E7C" w14:paraId="0E57D9FF" w14:textId="77777777" w:rsidTr="00BD7708">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0E57D9F8" w14:textId="77777777" w:rsidR="008A712D" w:rsidRPr="00AC0018" w:rsidRDefault="008A712D" w:rsidP="00834574">
            <w:pPr>
              <w:spacing w:after="0"/>
              <w:rPr>
                <w:rFonts w:ascii="Calibri" w:hAnsi="Calibri"/>
                <w:color w:val="A6A6A6" w:themeColor="background1" w:themeShade="A6"/>
                <w:sz w:val="16"/>
                <w:szCs w:val="16"/>
              </w:rPr>
            </w:pPr>
            <w:r w:rsidRPr="0004291C">
              <w:rPr>
                <w:rFonts w:ascii="Calibri" w:hAnsi="Calibri"/>
                <w:sz w:val="16"/>
                <w:szCs w:val="16"/>
              </w:rPr>
              <w:t>Non-core</w:t>
            </w:r>
          </w:p>
        </w:tc>
        <w:tc>
          <w:tcPr>
            <w:tcW w:w="1559" w:type="dxa"/>
            <w:tcBorders>
              <w:top w:val="nil"/>
              <w:left w:val="nil"/>
              <w:bottom w:val="single" w:sz="4" w:space="0" w:color="auto"/>
              <w:right w:val="single" w:sz="4" w:space="0" w:color="auto"/>
            </w:tcBorders>
            <w:shd w:val="clear" w:color="000000" w:fill="EEECE1"/>
          </w:tcPr>
          <w:p w14:paraId="0E57D9F9" w14:textId="77777777" w:rsidR="00832A75" w:rsidRPr="000936EF" w:rsidRDefault="00441381" w:rsidP="00F22AE5">
            <w:pPr>
              <w:spacing w:line="240" w:lineRule="auto"/>
              <w:rPr>
                <w:rFonts w:ascii="Calibri" w:hAnsi="Calibri"/>
                <w:bCs/>
                <w:color w:val="808080" w:themeColor="background1" w:themeShade="80"/>
                <w:sz w:val="16"/>
                <w:szCs w:val="16"/>
              </w:rPr>
            </w:pPr>
            <w:r w:rsidRPr="000936EF">
              <w:rPr>
                <w:rFonts w:ascii="Calibri" w:hAnsi="Calibri"/>
                <w:bCs/>
                <w:color w:val="808080" w:themeColor="background1" w:themeShade="80"/>
                <w:sz w:val="16"/>
                <w:szCs w:val="16"/>
              </w:rPr>
              <w:t>LYMPHOVASCULAR INVASION</w:t>
            </w:r>
          </w:p>
        </w:tc>
        <w:tc>
          <w:tcPr>
            <w:tcW w:w="2835" w:type="dxa"/>
            <w:tcBorders>
              <w:top w:val="nil"/>
              <w:left w:val="nil"/>
              <w:bottom w:val="single" w:sz="4" w:space="0" w:color="auto"/>
              <w:right w:val="single" w:sz="4" w:space="0" w:color="auto"/>
            </w:tcBorders>
            <w:shd w:val="clear" w:color="auto" w:fill="auto"/>
          </w:tcPr>
          <w:p w14:paraId="0E57D9FA" w14:textId="77777777" w:rsidR="00441381" w:rsidRPr="000936EF" w:rsidRDefault="00441381" w:rsidP="003D276B">
            <w:pPr>
              <w:pStyle w:val="ListParagraph"/>
              <w:numPr>
                <w:ilvl w:val="0"/>
                <w:numId w:val="13"/>
              </w:numPr>
              <w:autoSpaceDE w:val="0"/>
              <w:autoSpaceDN w:val="0"/>
              <w:adjustRightInd w:val="0"/>
              <w:spacing w:after="0" w:line="240" w:lineRule="auto"/>
              <w:ind w:left="176" w:hanging="142"/>
              <w:rPr>
                <w:color w:val="808080" w:themeColor="background1" w:themeShade="80"/>
                <w:sz w:val="16"/>
                <w:szCs w:val="16"/>
              </w:rPr>
            </w:pPr>
            <w:r w:rsidRPr="000936EF">
              <w:rPr>
                <w:color w:val="808080" w:themeColor="background1" w:themeShade="80"/>
                <w:sz w:val="16"/>
                <w:szCs w:val="16"/>
              </w:rPr>
              <w:t>Not identified</w:t>
            </w:r>
          </w:p>
          <w:p w14:paraId="0E57D9FB" w14:textId="77777777" w:rsidR="00441381" w:rsidRPr="000936EF" w:rsidRDefault="00441381" w:rsidP="003D276B">
            <w:pPr>
              <w:pStyle w:val="ListParagraph"/>
              <w:numPr>
                <w:ilvl w:val="0"/>
                <w:numId w:val="13"/>
              </w:numPr>
              <w:autoSpaceDE w:val="0"/>
              <w:autoSpaceDN w:val="0"/>
              <w:adjustRightInd w:val="0"/>
              <w:spacing w:after="0" w:line="240" w:lineRule="auto"/>
              <w:ind w:left="176" w:hanging="142"/>
              <w:rPr>
                <w:color w:val="808080" w:themeColor="background1" w:themeShade="80"/>
                <w:sz w:val="16"/>
                <w:szCs w:val="16"/>
              </w:rPr>
            </w:pPr>
            <w:r w:rsidRPr="000936EF">
              <w:rPr>
                <w:color w:val="808080" w:themeColor="background1" w:themeShade="80"/>
                <w:sz w:val="16"/>
                <w:szCs w:val="16"/>
              </w:rPr>
              <w:t>Present</w:t>
            </w:r>
          </w:p>
          <w:p w14:paraId="0E57D9FC" w14:textId="77777777" w:rsidR="00336665" w:rsidRPr="000936EF" w:rsidRDefault="00441381" w:rsidP="003D276B">
            <w:pPr>
              <w:pStyle w:val="ListParagraph"/>
              <w:numPr>
                <w:ilvl w:val="0"/>
                <w:numId w:val="13"/>
              </w:numPr>
              <w:autoSpaceDE w:val="0"/>
              <w:autoSpaceDN w:val="0"/>
              <w:adjustRightInd w:val="0"/>
              <w:spacing w:after="0" w:line="240" w:lineRule="auto"/>
              <w:ind w:left="176" w:hanging="142"/>
              <w:rPr>
                <w:rFonts w:ascii="Calibri" w:hAnsi="Calibri"/>
                <w:color w:val="808080" w:themeColor="background1" w:themeShade="80"/>
                <w:sz w:val="16"/>
                <w:szCs w:val="16"/>
              </w:rPr>
            </w:pPr>
            <w:r w:rsidRPr="000936EF">
              <w:rPr>
                <w:color w:val="808080" w:themeColor="background1" w:themeShade="80"/>
                <w:sz w:val="16"/>
                <w:szCs w:val="16"/>
              </w:rPr>
              <w:t>Indeterminate</w:t>
            </w:r>
          </w:p>
        </w:tc>
        <w:tc>
          <w:tcPr>
            <w:tcW w:w="8222" w:type="dxa"/>
            <w:tcBorders>
              <w:top w:val="nil"/>
              <w:left w:val="nil"/>
              <w:bottom w:val="single" w:sz="4" w:space="0" w:color="auto"/>
              <w:right w:val="single" w:sz="4" w:space="0" w:color="auto"/>
            </w:tcBorders>
            <w:shd w:val="clear" w:color="auto" w:fill="auto"/>
          </w:tcPr>
          <w:p w14:paraId="0E57D9FD" w14:textId="77777777" w:rsidR="00E66584" w:rsidRPr="00A21F2B" w:rsidRDefault="00E42F51" w:rsidP="00FE74D4">
            <w:pPr>
              <w:spacing w:after="0" w:line="240" w:lineRule="auto"/>
              <w:ind w:left="317" w:hanging="317"/>
              <w:rPr>
                <w:rFonts w:ascii="Calibri" w:hAnsi="Calibri"/>
                <w:color w:val="000000"/>
                <w:sz w:val="16"/>
                <w:szCs w:val="16"/>
              </w:rPr>
            </w:pPr>
            <w:proofErr w:type="spellStart"/>
            <w:r w:rsidRPr="00E42F51">
              <w:rPr>
                <w:rFonts w:ascii="Calibri" w:hAnsi="Calibri"/>
                <w:color w:val="000000"/>
                <w:sz w:val="16"/>
                <w:szCs w:val="16"/>
              </w:rPr>
              <w:t>Lymphovascular</w:t>
            </w:r>
            <w:proofErr w:type="spellEnd"/>
            <w:r w:rsidRPr="00E42F51">
              <w:rPr>
                <w:rFonts w:ascii="Calibri" w:hAnsi="Calibri"/>
                <w:color w:val="000000"/>
                <w:sz w:val="16"/>
                <w:szCs w:val="16"/>
              </w:rPr>
              <w:t xml:space="preserve"> invasion is extremely rare in bone tumours. However, it is important to report if present.</w:t>
            </w:r>
          </w:p>
        </w:tc>
        <w:tc>
          <w:tcPr>
            <w:tcW w:w="1701" w:type="dxa"/>
            <w:tcBorders>
              <w:top w:val="nil"/>
              <w:left w:val="nil"/>
              <w:bottom w:val="single" w:sz="4" w:space="0" w:color="auto"/>
              <w:right w:val="single" w:sz="4" w:space="0" w:color="auto"/>
            </w:tcBorders>
            <w:shd w:val="clear" w:color="auto" w:fill="auto"/>
          </w:tcPr>
          <w:p w14:paraId="0E57D9FE" w14:textId="77777777" w:rsidR="00832A75" w:rsidRPr="00FC3379" w:rsidRDefault="00832A75" w:rsidP="008A712D">
            <w:pPr>
              <w:spacing w:after="0"/>
              <w:rPr>
                <w:rFonts w:ascii="Calibri" w:hAnsi="Calibri"/>
                <w:color w:val="000000"/>
                <w:sz w:val="16"/>
                <w:szCs w:val="16"/>
              </w:rPr>
            </w:pPr>
          </w:p>
        </w:tc>
      </w:tr>
      <w:tr w:rsidR="00832A75" w:rsidRPr="00CC5E7C" w14:paraId="0E57DA06" w14:textId="77777777" w:rsidTr="00BD7708">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0E57DA00" w14:textId="77777777" w:rsidR="00832A75" w:rsidRPr="00AC0018" w:rsidRDefault="00441381" w:rsidP="00441381">
            <w:pPr>
              <w:spacing w:after="0"/>
              <w:rPr>
                <w:rFonts w:ascii="Calibri" w:hAnsi="Calibri"/>
                <w:color w:val="A6A6A6" w:themeColor="background1" w:themeShade="A6"/>
                <w:sz w:val="16"/>
                <w:szCs w:val="16"/>
              </w:rPr>
            </w:pPr>
            <w:r w:rsidRPr="0004291C">
              <w:rPr>
                <w:rFonts w:ascii="Calibri" w:hAnsi="Calibri"/>
                <w:sz w:val="16"/>
                <w:szCs w:val="16"/>
              </w:rPr>
              <w:t>Non-c</w:t>
            </w:r>
            <w:r w:rsidR="002C73D9" w:rsidRPr="0004291C">
              <w:rPr>
                <w:rFonts w:ascii="Calibri" w:hAnsi="Calibri"/>
                <w:sz w:val="16"/>
                <w:szCs w:val="16"/>
              </w:rPr>
              <w:t>ore</w:t>
            </w:r>
          </w:p>
        </w:tc>
        <w:tc>
          <w:tcPr>
            <w:tcW w:w="1559" w:type="dxa"/>
            <w:tcBorders>
              <w:top w:val="nil"/>
              <w:left w:val="nil"/>
              <w:bottom w:val="single" w:sz="4" w:space="0" w:color="auto"/>
              <w:right w:val="single" w:sz="4" w:space="0" w:color="auto"/>
            </w:tcBorders>
            <w:shd w:val="clear" w:color="000000" w:fill="EEECE1"/>
          </w:tcPr>
          <w:p w14:paraId="0E57DA01" w14:textId="77777777" w:rsidR="00832A75" w:rsidRPr="000936EF" w:rsidRDefault="00441381" w:rsidP="00441381">
            <w:pPr>
              <w:spacing w:line="240" w:lineRule="auto"/>
              <w:rPr>
                <w:rFonts w:ascii="Calibri" w:hAnsi="Calibri"/>
                <w:bCs/>
                <w:color w:val="808080" w:themeColor="background1" w:themeShade="80"/>
                <w:sz w:val="16"/>
                <w:szCs w:val="16"/>
              </w:rPr>
            </w:pPr>
            <w:r w:rsidRPr="000936EF">
              <w:rPr>
                <w:rFonts w:ascii="Calibri" w:hAnsi="Calibri"/>
                <w:bCs/>
                <w:color w:val="808080" w:themeColor="background1" w:themeShade="80"/>
                <w:sz w:val="16"/>
                <w:szCs w:val="16"/>
              </w:rPr>
              <w:t xml:space="preserve">COEXISTENT </w:t>
            </w:r>
            <w:proofErr w:type="spellStart"/>
            <w:r w:rsidRPr="000936EF">
              <w:rPr>
                <w:rFonts w:ascii="Calibri" w:hAnsi="Calibri"/>
                <w:bCs/>
                <w:color w:val="808080" w:themeColor="background1" w:themeShade="80"/>
                <w:sz w:val="16"/>
                <w:szCs w:val="16"/>
              </w:rPr>
              <w:t>PATHOLOGY</w:t>
            </w:r>
            <w:r w:rsidRPr="000936EF">
              <w:rPr>
                <w:rFonts w:ascii="Calibri" w:hAnsi="Calibri"/>
                <w:bCs/>
                <w:color w:val="808080" w:themeColor="background1" w:themeShade="80"/>
                <w:sz w:val="18"/>
                <w:szCs w:val="18"/>
                <w:vertAlign w:val="superscript"/>
              </w:rPr>
              <w:t>a</w:t>
            </w:r>
            <w:proofErr w:type="spellEnd"/>
          </w:p>
        </w:tc>
        <w:tc>
          <w:tcPr>
            <w:tcW w:w="2835" w:type="dxa"/>
            <w:tcBorders>
              <w:top w:val="nil"/>
              <w:left w:val="nil"/>
              <w:bottom w:val="single" w:sz="4" w:space="0" w:color="auto"/>
              <w:right w:val="single" w:sz="4" w:space="0" w:color="auto"/>
            </w:tcBorders>
            <w:shd w:val="clear" w:color="auto" w:fill="auto"/>
          </w:tcPr>
          <w:p w14:paraId="0E57DA02" w14:textId="77777777" w:rsidR="00BD5E26" w:rsidRPr="000936EF" w:rsidRDefault="00BD5E26" w:rsidP="003D276B">
            <w:pPr>
              <w:pStyle w:val="ListParagraph"/>
              <w:numPr>
                <w:ilvl w:val="0"/>
                <w:numId w:val="13"/>
              </w:numPr>
              <w:autoSpaceDE w:val="0"/>
              <w:autoSpaceDN w:val="0"/>
              <w:adjustRightInd w:val="0"/>
              <w:spacing w:after="0" w:line="240" w:lineRule="auto"/>
              <w:ind w:left="176" w:hanging="142"/>
              <w:rPr>
                <w:color w:val="808080" w:themeColor="background1" w:themeShade="80"/>
                <w:sz w:val="16"/>
                <w:szCs w:val="16"/>
              </w:rPr>
            </w:pPr>
            <w:r w:rsidRPr="000936EF">
              <w:rPr>
                <w:color w:val="808080" w:themeColor="background1" w:themeShade="80"/>
                <w:sz w:val="16"/>
                <w:szCs w:val="16"/>
              </w:rPr>
              <w:t>None identified</w:t>
            </w:r>
          </w:p>
          <w:p w14:paraId="0E57DA03" w14:textId="77777777" w:rsidR="00832A75" w:rsidRPr="000936EF" w:rsidRDefault="00BD5E26" w:rsidP="003D276B">
            <w:pPr>
              <w:pStyle w:val="ListParagraph"/>
              <w:numPr>
                <w:ilvl w:val="0"/>
                <w:numId w:val="13"/>
              </w:numPr>
              <w:autoSpaceDE w:val="0"/>
              <w:autoSpaceDN w:val="0"/>
              <w:adjustRightInd w:val="0"/>
              <w:spacing w:after="0" w:line="240" w:lineRule="auto"/>
              <w:ind w:left="176" w:hanging="142"/>
              <w:rPr>
                <w:rFonts w:ascii="Calibri" w:hAnsi="Calibri"/>
                <w:color w:val="808080" w:themeColor="background1" w:themeShade="80"/>
                <w:sz w:val="16"/>
                <w:szCs w:val="16"/>
              </w:rPr>
            </w:pPr>
            <w:r w:rsidRPr="000936EF">
              <w:rPr>
                <w:color w:val="808080" w:themeColor="background1" w:themeShade="80"/>
                <w:sz w:val="16"/>
                <w:szCs w:val="16"/>
              </w:rPr>
              <w:t xml:space="preserve">Present, </w:t>
            </w:r>
            <w:r w:rsidRPr="000936EF">
              <w:rPr>
                <w:i/>
                <w:color w:val="808080" w:themeColor="background1" w:themeShade="80"/>
                <w:sz w:val="16"/>
                <w:szCs w:val="16"/>
              </w:rPr>
              <w:t>specify</w:t>
            </w:r>
          </w:p>
        </w:tc>
        <w:tc>
          <w:tcPr>
            <w:tcW w:w="8222" w:type="dxa"/>
            <w:tcBorders>
              <w:top w:val="nil"/>
              <w:left w:val="nil"/>
              <w:bottom w:val="single" w:sz="4" w:space="0" w:color="auto"/>
              <w:right w:val="single" w:sz="4" w:space="0" w:color="auto"/>
            </w:tcBorders>
            <w:shd w:val="clear" w:color="auto" w:fill="auto"/>
          </w:tcPr>
          <w:p w14:paraId="0E57DA04" w14:textId="77777777" w:rsidR="00B64794" w:rsidRPr="00FC562C" w:rsidRDefault="00FC562C" w:rsidP="00FC562C">
            <w:pPr>
              <w:spacing w:after="0" w:line="240" w:lineRule="auto"/>
              <w:rPr>
                <w:color w:val="000000"/>
                <w:sz w:val="16"/>
                <w:szCs w:val="16"/>
              </w:rPr>
            </w:pPr>
            <w:r w:rsidRPr="00FC562C">
              <w:rPr>
                <w:sz w:val="16"/>
                <w:szCs w:val="16"/>
              </w:rPr>
              <w:t xml:space="preserve">If present, the pathologist should report other abnormalities that are relevant for the diagnosis and any other significant pathologic finding, even if not directly relevant or unrelated. For instance, the presence of precursor lesions for chondrosarcoma, such as multiple enchondromas, osteochondroma, or synovial </w:t>
            </w:r>
            <w:proofErr w:type="spellStart"/>
            <w:r w:rsidRPr="00FC562C">
              <w:rPr>
                <w:sz w:val="16"/>
                <w:szCs w:val="16"/>
              </w:rPr>
              <w:t>chondromatosis</w:t>
            </w:r>
            <w:proofErr w:type="spellEnd"/>
            <w:r w:rsidRPr="00FC562C">
              <w:rPr>
                <w:sz w:val="16"/>
                <w:szCs w:val="16"/>
              </w:rPr>
              <w:t>, should be documented. Paget disease and osteonecrosis or bone infarction may be seen in addition to a secondary sarcoma. The presence of a pathologic fracture may influence the histological evaluation and should be documented. Other unrelated findings may include vasculitis, infection, coexistent chronic lymphocytic leukaemia (CLL) or incidental/unexpected metastatic carcinoma in the same specimen.</w:t>
            </w:r>
          </w:p>
        </w:tc>
        <w:tc>
          <w:tcPr>
            <w:tcW w:w="1701" w:type="dxa"/>
            <w:tcBorders>
              <w:top w:val="nil"/>
              <w:left w:val="nil"/>
              <w:bottom w:val="single" w:sz="4" w:space="0" w:color="auto"/>
              <w:right w:val="single" w:sz="4" w:space="0" w:color="auto"/>
            </w:tcBorders>
            <w:shd w:val="clear" w:color="auto" w:fill="auto"/>
          </w:tcPr>
          <w:p w14:paraId="0E57DA05" w14:textId="77777777" w:rsidR="00832A75" w:rsidRPr="00441381" w:rsidRDefault="00441381" w:rsidP="00BD5E26">
            <w:pPr>
              <w:spacing w:line="240" w:lineRule="auto"/>
              <w:rPr>
                <w:rFonts w:ascii="Calibri" w:hAnsi="Calibri"/>
                <w:color w:val="000000"/>
                <w:sz w:val="18"/>
                <w:szCs w:val="18"/>
                <w:vertAlign w:val="superscript"/>
              </w:rPr>
            </w:pPr>
            <w:r w:rsidRPr="00441381">
              <w:rPr>
                <w:rFonts w:ascii="Calibri" w:hAnsi="Calibri"/>
                <w:color w:val="000000"/>
                <w:sz w:val="18"/>
                <w:szCs w:val="18"/>
                <w:vertAlign w:val="superscript"/>
              </w:rPr>
              <w:t>a</w:t>
            </w:r>
            <w:r w:rsidR="00BD5E26" w:rsidRPr="00BD5E26">
              <w:rPr>
                <w:rFonts w:ascii="Verdana" w:hAnsi="Verdana" w:cs="Verdana"/>
                <w:color w:val="949698"/>
                <w:position w:val="6"/>
                <w:sz w:val="10"/>
                <w:szCs w:val="10"/>
                <w:vertAlign w:val="superscript"/>
              </w:rPr>
              <w:t xml:space="preserve"> </w:t>
            </w:r>
            <w:r w:rsidR="00BD5E26" w:rsidRPr="00BD5E26">
              <w:rPr>
                <w:rFonts w:ascii="Calibri" w:hAnsi="Calibri"/>
                <w:color w:val="000000"/>
                <w:sz w:val="18"/>
                <w:szCs w:val="18"/>
                <w:vertAlign w:val="superscript"/>
              </w:rPr>
              <w:t xml:space="preserve"> </w:t>
            </w:r>
            <w:r w:rsidR="00BD5E26" w:rsidRPr="00BD5E26">
              <w:rPr>
                <w:rFonts w:ascii="Calibri" w:hAnsi="Calibri"/>
                <w:iCs/>
                <w:color w:val="000000"/>
                <w:sz w:val="16"/>
                <w:szCs w:val="16"/>
              </w:rPr>
              <w:t>Found at histological examination.</w:t>
            </w:r>
          </w:p>
        </w:tc>
      </w:tr>
      <w:tr w:rsidR="00832A75" w:rsidRPr="00CC5E7C" w14:paraId="0E57DA11" w14:textId="77777777" w:rsidTr="004C4CF9">
        <w:trPr>
          <w:trHeight w:val="456"/>
        </w:trPr>
        <w:tc>
          <w:tcPr>
            <w:tcW w:w="866" w:type="dxa"/>
            <w:tcBorders>
              <w:top w:val="single" w:sz="4" w:space="0" w:color="auto"/>
              <w:left w:val="single" w:sz="4" w:space="0" w:color="auto"/>
              <w:bottom w:val="single" w:sz="4" w:space="0" w:color="auto"/>
              <w:right w:val="single" w:sz="4" w:space="0" w:color="auto"/>
            </w:tcBorders>
            <w:shd w:val="clear" w:color="000000" w:fill="EEECE1"/>
          </w:tcPr>
          <w:p w14:paraId="0E57DA07" w14:textId="77777777" w:rsidR="00832A75" w:rsidRDefault="00F22AE5" w:rsidP="008F3B28">
            <w:pPr>
              <w:spacing w:after="0"/>
              <w:rPr>
                <w:rFonts w:ascii="Calibri" w:hAnsi="Calibri"/>
                <w:color w:val="000000"/>
                <w:sz w:val="16"/>
                <w:szCs w:val="16"/>
              </w:rPr>
            </w:pPr>
            <w:r>
              <w:rPr>
                <w:rFonts w:ascii="Calibri" w:hAnsi="Calibri"/>
                <w:color w:val="000000"/>
                <w:sz w:val="16"/>
                <w:szCs w:val="16"/>
              </w:rPr>
              <w:t>Core</w:t>
            </w:r>
          </w:p>
        </w:tc>
        <w:tc>
          <w:tcPr>
            <w:tcW w:w="1559" w:type="dxa"/>
            <w:tcBorders>
              <w:top w:val="single" w:sz="4" w:space="0" w:color="auto"/>
              <w:left w:val="nil"/>
              <w:bottom w:val="single" w:sz="4" w:space="0" w:color="auto"/>
              <w:right w:val="single" w:sz="4" w:space="0" w:color="auto"/>
            </w:tcBorders>
            <w:shd w:val="clear" w:color="000000" w:fill="EEECE1"/>
          </w:tcPr>
          <w:p w14:paraId="0E57DA08" w14:textId="77777777" w:rsidR="00832A75" w:rsidRPr="00093288" w:rsidRDefault="00F22AE5" w:rsidP="00F22AE5">
            <w:pPr>
              <w:spacing w:line="240" w:lineRule="auto"/>
              <w:rPr>
                <w:rFonts w:ascii="Calibri" w:hAnsi="Calibri"/>
                <w:bCs/>
                <w:color w:val="000000"/>
                <w:sz w:val="16"/>
                <w:szCs w:val="16"/>
              </w:rPr>
            </w:pPr>
            <w:r w:rsidRPr="00F22AE5">
              <w:rPr>
                <w:rFonts w:ascii="Calibri" w:hAnsi="Calibri"/>
                <w:bCs/>
                <w:color w:val="000000"/>
                <w:sz w:val="16"/>
                <w:szCs w:val="16"/>
              </w:rPr>
              <w:t>ANCILLARY STUDIES</w:t>
            </w:r>
          </w:p>
        </w:tc>
        <w:tc>
          <w:tcPr>
            <w:tcW w:w="2835" w:type="dxa"/>
            <w:tcBorders>
              <w:top w:val="single" w:sz="4" w:space="0" w:color="auto"/>
              <w:left w:val="nil"/>
              <w:bottom w:val="single" w:sz="4" w:space="0" w:color="auto"/>
              <w:right w:val="single" w:sz="4" w:space="0" w:color="auto"/>
            </w:tcBorders>
            <w:shd w:val="clear" w:color="auto" w:fill="auto"/>
          </w:tcPr>
          <w:p w14:paraId="0E57DA09" w14:textId="77777777" w:rsidR="00F22AE5" w:rsidRPr="00F22AE5" w:rsidRDefault="00F22AE5" w:rsidP="00F22AE5">
            <w:pPr>
              <w:pStyle w:val="ListParagraph"/>
              <w:numPr>
                <w:ilvl w:val="0"/>
                <w:numId w:val="4"/>
              </w:numPr>
              <w:autoSpaceDE w:val="0"/>
              <w:autoSpaceDN w:val="0"/>
              <w:adjustRightInd w:val="0"/>
              <w:spacing w:after="0" w:line="240" w:lineRule="auto"/>
              <w:ind w:left="176" w:hanging="176"/>
              <w:rPr>
                <w:rFonts w:ascii="Calibri" w:hAnsi="Calibri"/>
                <w:color w:val="000000"/>
                <w:sz w:val="16"/>
                <w:szCs w:val="16"/>
                <w14:textFill>
                  <w14:solidFill>
                    <w14:srgbClr w14:val="000000">
                      <w14:lumMod w14:val="65000"/>
                    </w14:srgbClr>
                  </w14:solidFill>
                </w14:textFill>
              </w:rPr>
            </w:pPr>
            <w:r w:rsidRPr="00F22AE5">
              <w:rPr>
                <w:rFonts w:ascii="Calibri" w:hAnsi="Calibri"/>
                <w:color w:val="000000"/>
                <w:sz w:val="16"/>
                <w:szCs w:val="16"/>
              </w:rPr>
              <w:t>Not performed</w:t>
            </w:r>
          </w:p>
          <w:p w14:paraId="0E57DA0A" w14:textId="77777777" w:rsidR="00F22AE5" w:rsidRPr="00F22AE5" w:rsidRDefault="00F22AE5" w:rsidP="00F22AE5">
            <w:pPr>
              <w:pStyle w:val="ListParagraph"/>
              <w:numPr>
                <w:ilvl w:val="0"/>
                <w:numId w:val="4"/>
              </w:numPr>
              <w:autoSpaceDE w:val="0"/>
              <w:autoSpaceDN w:val="0"/>
              <w:adjustRightInd w:val="0"/>
              <w:spacing w:after="0" w:line="240" w:lineRule="auto"/>
              <w:ind w:left="176" w:hanging="176"/>
              <w:rPr>
                <w:rFonts w:ascii="Calibri" w:hAnsi="Calibri"/>
                <w:color w:val="000000"/>
                <w:sz w:val="16"/>
                <w:szCs w:val="16"/>
                <w14:textFill>
                  <w14:solidFill>
                    <w14:srgbClr w14:val="000000">
                      <w14:lumMod w14:val="65000"/>
                    </w14:srgbClr>
                  </w14:solidFill>
                </w14:textFill>
              </w:rPr>
            </w:pPr>
            <w:r>
              <w:rPr>
                <w:rFonts w:ascii="Calibri" w:hAnsi="Calibri"/>
                <w:color w:val="000000"/>
                <w:sz w:val="16"/>
                <w:szCs w:val="16"/>
              </w:rPr>
              <w:t>Performed</w:t>
            </w:r>
          </w:p>
          <w:p w14:paraId="0E57DA0B" w14:textId="77777777" w:rsidR="00F22AE5" w:rsidRPr="00F22AE5" w:rsidRDefault="00F22AE5" w:rsidP="003D276B">
            <w:pPr>
              <w:pStyle w:val="ListParagraph"/>
              <w:numPr>
                <w:ilvl w:val="0"/>
                <w:numId w:val="14"/>
              </w:numPr>
              <w:autoSpaceDE w:val="0"/>
              <w:autoSpaceDN w:val="0"/>
              <w:adjustRightInd w:val="0"/>
              <w:spacing w:after="0" w:line="240" w:lineRule="auto"/>
              <w:ind w:left="317" w:hanging="141"/>
              <w:rPr>
                <w:rFonts w:ascii="Calibri" w:hAnsi="Calibri"/>
                <w:i/>
                <w:sz w:val="16"/>
                <w:szCs w:val="16"/>
              </w:rPr>
            </w:pPr>
            <w:r w:rsidRPr="00F22AE5">
              <w:rPr>
                <w:rFonts w:ascii="Calibri" w:hAnsi="Calibri"/>
                <w:sz w:val="16"/>
                <w:szCs w:val="16"/>
              </w:rPr>
              <w:t xml:space="preserve">Immunohistochemistry, </w:t>
            </w:r>
            <w:r w:rsidRPr="00F22AE5">
              <w:rPr>
                <w:rFonts w:ascii="Calibri" w:hAnsi="Calibri"/>
                <w:i/>
                <w:sz w:val="16"/>
                <w:szCs w:val="16"/>
              </w:rPr>
              <w:t xml:space="preserve">specify test(s) and result(s) </w:t>
            </w:r>
          </w:p>
          <w:p w14:paraId="0E57DA0C" w14:textId="77777777" w:rsidR="00F22AE5" w:rsidRPr="00F22AE5" w:rsidRDefault="00F22AE5" w:rsidP="003D276B">
            <w:pPr>
              <w:pStyle w:val="ListParagraph"/>
              <w:numPr>
                <w:ilvl w:val="0"/>
                <w:numId w:val="14"/>
              </w:numPr>
              <w:autoSpaceDE w:val="0"/>
              <w:autoSpaceDN w:val="0"/>
              <w:adjustRightInd w:val="0"/>
              <w:spacing w:after="0" w:line="240" w:lineRule="auto"/>
              <w:ind w:left="317" w:hanging="141"/>
              <w:rPr>
                <w:rFonts w:ascii="Calibri" w:hAnsi="Calibri"/>
                <w:i/>
                <w:sz w:val="16"/>
                <w:szCs w:val="16"/>
              </w:rPr>
            </w:pPr>
            <w:r w:rsidRPr="00F22AE5">
              <w:rPr>
                <w:rFonts w:ascii="Calibri" w:hAnsi="Calibri"/>
                <w:sz w:val="16"/>
                <w:szCs w:val="16"/>
              </w:rPr>
              <w:t xml:space="preserve">Molecular findings, </w:t>
            </w:r>
            <w:r w:rsidRPr="00F22AE5">
              <w:rPr>
                <w:rFonts w:ascii="Calibri" w:hAnsi="Calibri"/>
                <w:i/>
                <w:sz w:val="16"/>
                <w:szCs w:val="16"/>
              </w:rPr>
              <w:t>specify test(s) and result(s)</w:t>
            </w:r>
          </w:p>
          <w:p w14:paraId="0E57DA0D" w14:textId="77777777" w:rsidR="00832A75" w:rsidRPr="005B5F9C" w:rsidRDefault="00F22AE5" w:rsidP="00A4446B">
            <w:pPr>
              <w:pStyle w:val="ListParagraph"/>
              <w:numPr>
                <w:ilvl w:val="0"/>
                <w:numId w:val="14"/>
              </w:numPr>
              <w:autoSpaceDE w:val="0"/>
              <w:autoSpaceDN w:val="0"/>
              <w:adjustRightInd w:val="0"/>
              <w:spacing w:after="80" w:line="240" w:lineRule="auto"/>
              <w:ind w:left="318" w:hanging="142"/>
              <w:rPr>
                <w:rFonts w:ascii="Calibri" w:hAnsi="Calibri"/>
                <w:color w:val="A6A6A6" w:themeColor="background1" w:themeShade="A6"/>
                <w:sz w:val="16"/>
                <w:szCs w:val="16"/>
              </w:rPr>
            </w:pPr>
            <w:r w:rsidRPr="00F22AE5">
              <w:rPr>
                <w:rFonts w:ascii="Calibri" w:hAnsi="Calibri"/>
                <w:sz w:val="16"/>
                <w:szCs w:val="16"/>
              </w:rPr>
              <w:t xml:space="preserve">Other, </w:t>
            </w:r>
            <w:r w:rsidRPr="00F22AE5">
              <w:rPr>
                <w:rFonts w:ascii="Calibri" w:hAnsi="Calibri"/>
                <w:i/>
                <w:sz w:val="16"/>
                <w:szCs w:val="16"/>
              </w:rPr>
              <w:t>specify test(s) and result(s)</w:t>
            </w:r>
          </w:p>
        </w:tc>
        <w:tc>
          <w:tcPr>
            <w:tcW w:w="8222" w:type="dxa"/>
            <w:tcBorders>
              <w:top w:val="single" w:sz="4" w:space="0" w:color="auto"/>
              <w:left w:val="nil"/>
              <w:bottom w:val="single" w:sz="4" w:space="0" w:color="auto"/>
              <w:right w:val="single" w:sz="4" w:space="0" w:color="auto"/>
            </w:tcBorders>
            <w:shd w:val="clear" w:color="auto" w:fill="auto"/>
          </w:tcPr>
          <w:p w14:paraId="0E57DA0E" w14:textId="77777777" w:rsidR="00F22AE5" w:rsidRPr="00F22AE5" w:rsidRDefault="00F22AE5" w:rsidP="00F22AE5">
            <w:pPr>
              <w:spacing w:line="240" w:lineRule="auto"/>
              <w:rPr>
                <w:rFonts w:ascii="Calibri" w:eastAsia="Calibri" w:hAnsi="Calibri" w:cs="Times New Roman"/>
                <w:sz w:val="16"/>
                <w:szCs w:val="16"/>
              </w:rPr>
            </w:pPr>
            <w:bookmarkStart w:id="0" w:name="_Hlk32343600"/>
            <w:r w:rsidRPr="00F22AE5">
              <w:rPr>
                <w:rFonts w:ascii="Calibri" w:eastAsia="Calibri" w:hAnsi="Calibri" w:cs="Times New Roman"/>
                <w:sz w:val="16"/>
                <w:szCs w:val="16"/>
              </w:rPr>
              <w:t xml:space="preserve">All immunohistochemical </w:t>
            </w:r>
            <w:proofErr w:type="spellStart"/>
            <w:r w:rsidRPr="00F22AE5">
              <w:rPr>
                <w:rFonts w:ascii="Calibri" w:eastAsia="Calibri" w:hAnsi="Calibri" w:cs="Times New Roman"/>
                <w:sz w:val="16"/>
                <w:szCs w:val="16"/>
              </w:rPr>
              <w:t>stainings</w:t>
            </w:r>
            <w:proofErr w:type="spellEnd"/>
            <w:r w:rsidRPr="00F22AE5">
              <w:rPr>
                <w:rFonts w:ascii="Calibri" w:eastAsia="Calibri" w:hAnsi="Calibri" w:cs="Times New Roman"/>
                <w:sz w:val="16"/>
                <w:szCs w:val="16"/>
              </w:rPr>
              <w:t xml:space="preserve"> and molecular tests that contributed to the diagnosis should be documented. For instance, for Ewing sarcoma and other round cell sarcomas, lymphoma, adamantinoma and chordoma, these ancillary studies (immunohistochemical and/or molecular) are critical.</w:t>
            </w:r>
            <w:bookmarkEnd w:id="0"/>
          </w:p>
          <w:p w14:paraId="0E57DA0F" w14:textId="77777777" w:rsidR="00DA6263" w:rsidRPr="00AA361C" w:rsidRDefault="00DA6263" w:rsidP="004C4CF9">
            <w:pPr>
              <w:pStyle w:val="EndNoteBibliography"/>
              <w:spacing w:after="0"/>
              <w:rPr>
                <w:rFonts w:asciiTheme="minorHAnsi" w:hAnsiTheme="minorHAnsi"/>
                <w:color w:val="000000"/>
                <w:sz w:val="16"/>
                <w:szCs w:val="16"/>
              </w:rPr>
            </w:pPr>
          </w:p>
        </w:tc>
        <w:tc>
          <w:tcPr>
            <w:tcW w:w="1701" w:type="dxa"/>
            <w:tcBorders>
              <w:top w:val="single" w:sz="4" w:space="0" w:color="auto"/>
              <w:left w:val="nil"/>
              <w:bottom w:val="single" w:sz="4" w:space="0" w:color="auto"/>
              <w:right w:val="single" w:sz="4" w:space="0" w:color="auto"/>
            </w:tcBorders>
            <w:shd w:val="clear" w:color="auto" w:fill="auto"/>
          </w:tcPr>
          <w:p w14:paraId="0E57DA10" w14:textId="77777777" w:rsidR="00832A75" w:rsidRPr="00CC5E7C" w:rsidRDefault="00832A75" w:rsidP="00CC5E7C">
            <w:pPr>
              <w:rPr>
                <w:rFonts w:ascii="Calibri" w:hAnsi="Calibri"/>
                <w:color w:val="000000"/>
                <w:sz w:val="16"/>
                <w:szCs w:val="16"/>
              </w:rPr>
            </w:pPr>
          </w:p>
        </w:tc>
      </w:tr>
    </w:tbl>
    <w:p w14:paraId="0E57DA12" w14:textId="77777777" w:rsidR="001929A9" w:rsidRDefault="001929A9" w:rsidP="003C6A95">
      <w:pPr>
        <w:spacing w:after="0"/>
        <w:rPr>
          <w:b/>
          <w:sz w:val="20"/>
          <w:szCs w:val="20"/>
          <w:u w:val="single"/>
        </w:rPr>
      </w:pPr>
    </w:p>
    <w:p w14:paraId="0E57DA13" w14:textId="77777777" w:rsidR="00346A62" w:rsidRDefault="00346A62" w:rsidP="003C6A95">
      <w:pPr>
        <w:spacing w:after="0"/>
        <w:rPr>
          <w:b/>
          <w:sz w:val="20"/>
          <w:szCs w:val="20"/>
          <w:u w:val="single"/>
        </w:rPr>
      </w:pPr>
    </w:p>
    <w:p w14:paraId="0E57DA14" w14:textId="77777777" w:rsidR="00562867" w:rsidRDefault="00562867" w:rsidP="003C6A95">
      <w:pPr>
        <w:spacing w:after="0"/>
        <w:rPr>
          <w:b/>
          <w:sz w:val="20"/>
          <w:szCs w:val="20"/>
          <w:u w:val="single"/>
        </w:rPr>
      </w:pPr>
    </w:p>
    <w:p w14:paraId="0E57DA15" w14:textId="77777777" w:rsidR="00C21F3F" w:rsidRDefault="00C21F3F">
      <w:pPr>
        <w:rPr>
          <w:b/>
          <w:sz w:val="20"/>
          <w:szCs w:val="20"/>
          <w:u w:val="single"/>
        </w:rPr>
      </w:pPr>
      <w:r>
        <w:rPr>
          <w:b/>
          <w:sz w:val="20"/>
          <w:szCs w:val="20"/>
          <w:u w:val="single"/>
        </w:rPr>
        <w:br w:type="page"/>
      </w:r>
    </w:p>
    <w:p w14:paraId="0E57DA16" w14:textId="77777777" w:rsidR="003C23FC" w:rsidRDefault="00343D75" w:rsidP="00AC0018">
      <w:pPr>
        <w:spacing w:after="80"/>
        <w:rPr>
          <w:b/>
          <w:sz w:val="20"/>
          <w:szCs w:val="20"/>
          <w:u w:val="single"/>
        </w:rPr>
      </w:pPr>
      <w:r w:rsidRPr="00343D75">
        <w:rPr>
          <w:b/>
          <w:sz w:val="20"/>
          <w:szCs w:val="20"/>
          <w:u w:val="single"/>
        </w:rPr>
        <w:lastRenderedPageBreak/>
        <w:t>Tables</w:t>
      </w:r>
    </w:p>
    <w:p w14:paraId="0E57DA17" w14:textId="77777777" w:rsidR="00C21F3F" w:rsidRPr="00C21F3F" w:rsidRDefault="00C21F3F" w:rsidP="00C21F3F">
      <w:pPr>
        <w:spacing w:after="120" w:line="240" w:lineRule="auto"/>
        <w:rPr>
          <w:rFonts w:ascii="Calibri" w:eastAsia="Calibri" w:hAnsi="Calibri" w:cs="Times New Roman"/>
          <w:b/>
          <w:bCs/>
          <w:sz w:val="16"/>
          <w:szCs w:val="16"/>
        </w:rPr>
      </w:pPr>
      <w:r w:rsidRPr="00C21F3F">
        <w:rPr>
          <w:rFonts w:ascii="Calibri" w:eastAsia="Calibri" w:hAnsi="Calibri" w:cs="Times New Roman"/>
          <w:b/>
          <w:sz w:val="16"/>
          <w:szCs w:val="16"/>
          <w:u w:val="single"/>
        </w:rPr>
        <w:t xml:space="preserve">Table 1: World Health Organization classification of intermediate and malignant bone tumours and </w:t>
      </w:r>
      <w:r w:rsidRPr="00C21F3F">
        <w:rPr>
          <w:rFonts w:ascii="Calibri" w:eastAsia="Calibri" w:hAnsi="Calibri" w:cs="Times New Roman"/>
          <w:b/>
          <w:bCs/>
          <w:sz w:val="16"/>
          <w:szCs w:val="16"/>
          <w:u w:val="single"/>
        </w:rPr>
        <w:t>undifferentiated small round cell sarcomas</w:t>
      </w:r>
      <w:r w:rsidRPr="00C21F3F">
        <w:rPr>
          <w:rFonts w:ascii="Calibri" w:eastAsia="Calibri" w:hAnsi="Calibri" w:cs="Times New Roman"/>
          <w:b/>
          <w:bCs/>
          <w:sz w:val="16"/>
          <w:szCs w:val="16"/>
        </w:rPr>
        <w:t>.</w:t>
      </w:r>
      <w:r w:rsidRPr="00C21F3F">
        <w:rPr>
          <w:rFonts w:ascii="Calibri" w:eastAsia="Calibri" w:hAnsi="Calibri" w:cs="Times New Roman"/>
          <w:b/>
          <w:bCs/>
          <w:sz w:val="16"/>
          <w:szCs w:val="16"/>
        </w:rPr>
        <w:fldChar w:fldCharType="begin"/>
      </w:r>
      <w:r w:rsidRPr="00C21F3F">
        <w:rPr>
          <w:rFonts w:ascii="Calibri" w:eastAsia="Calibri" w:hAnsi="Calibri" w:cs="Times New Roman"/>
          <w:b/>
          <w:bCs/>
          <w:sz w:val="16"/>
          <w:szCs w:val="16"/>
        </w:rPr>
        <w:instrText xml:space="preserve"> ADDIN EN.CITE &lt;EndNote&gt;&lt;Cite&gt;&lt;Author&gt;IARC&lt;/Author&gt;&lt;Year&gt;2020&lt;/Year&gt;&lt;RecNum&gt;7&lt;/RecNum&gt;&lt;DisplayText&gt;&lt;style face="superscript"&gt;1&lt;/style&gt;&lt;/DisplayText&gt;&lt;record&gt;&lt;rec-number&gt;7&lt;/rec-number&gt;&lt;foreign-keys&gt;&lt;key app="EN" db-id="2xdxafpwyafr98e0wt7ps2xrzzfesasfdts2" timestamp="1591150362"&gt;7&lt;/key&gt;&lt;/foreign-keys&gt;&lt;ref-type name="Book"&gt;6&lt;/ref-type&gt;&lt;contributors&gt;&lt;authors&gt;&lt;author&gt;IARC&lt;/author&gt;&lt;/authors&gt;&lt;secondary-authors&gt;&lt;author&gt;WHO Classification of Tumours Editorial Board&lt;/author&gt;&lt;/secondary-authors&gt;&lt;/contributors&gt;&lt;titles&gt;&lt;title&gt;Soft Tissue and Bone Tumours. WHO Classification of Tumours, 5th Edition, Volume 3&lt;/title&gt;&lt;/titles&gt;&lt;dates&gt;&lt;year&gt;2020&lt;/year&gt;&lt;/dates&gt;&lt;pub-location&gt;Lyon, France&lt;/pub-location&gt;&lt;publisher&gt;IARC Publications&lt;/publisher&gt;&lt;urls&gt;&lt;/urls&gt;&lt;/record&gt;&lt;/Cite&gt;&lt;/EndNote&gt;</w:instrText>
      </w:r>
      <w:r w:rsidRPr="00C21F3F">
        <w:rPr>
          <w:rFonts w:ascii="Calibri" w:eastAsia="Calibri" w:hAnsi="Calibri" w:cs="Times New Roman"/>
          <w:b/>
          <w:bCs/>
          <w:sz w:val="16"/>
          <w:szCs w:val="16"/>
        </w:rPr>
        <w:fldChar w:fldCharType="separate"/>
      </w:r>
      <w:r w:rsidRPr="00C21F3F">
        <w:rPr>
          <w:rFonts w:ascii="Calibri" w:eastAsia="Calibri" w:hAnsi="Calibri" w:cs="Times New Roman"/>
          <w:b/>
          <w:bCs/>
          <w:noProof/>
          <w:sz w:val="16"/>
          <w:szCs w:val="16"/>
          <w:vertAlign w:val="superscript"/>
        </w:rPr>
        <w:t>1</w:t>
      </w:r>
      <w:r w:rsidRPr="00C21F3F">
        <w:rPr>
          <w:rFonts w:ascii="Calibri" w:eastAsia="Calibri" w:hAnsi="Calibri" w:cs="Times New Roman"/>
          <w:b/>
          <w:bCs/>
          <w:sz w:val="16"/>
          <w:szCs w:val="16"/>
        </w:rPr>
        <w:fldChar w:fldCharType="end"/>
      </w:r>
    </w:p>
    <w:tbl>
      <w:tblPr>
        <w:tblStyle w:val="TableGrid3"/>
        <w:tblW w:w="0" w:type="auto"/>
        <w:tblInd w:w="108" w:type="dxa"/>
        <w:tblLook w:val="04A0" w:firstRow="1" w:lastRow="0" w:firstColumn="1" w:lastColumn="0" w:noHBand="0" w:noVBand="1"/>
      </w:tblPr>
      <w:tblGrid>
        <w:gridCol w:w="3969"/>
        <w:gridCol w:w="1134"/>
      </w:tblGrid>
      <w:tr w:rsidR="00C21F3F" w:rsidRPr="00C21F3F" w14:paraId="0E57DA1A" w14:textId="77777777" w:rsidTr="00E57012">
        <w:trPr>
          <w:trHeight w:val="255"/>
          <w:tblHeader/>
        </w:trPr>
        <w:tc>
          <w:tcPr>
            <w:tcW w:w="3969" w:type="dxa"/>
            <w:vAlign w:val="center"/>
          </w:tcPr>
          <w:p w14:paraId="0E57DA18" w14:textId="77777777" w:rsidR="00C21F3F" w:rsidRPr="00C21F3F" w:rsidRDefault="00C21F3F" w:rsidP="00C21F3F">
            <w:pPr>
              <w:rPr>
                <w:rFonts w:ascii="Calibri" w:eastAsia="Calibri" w:hAnsi="Calibri" w:cs="Times New Roman"/>
                <w:b/>
                <w:bCs/>
                <w:sz w:val="16"/>
                <w:szCs w:val="16"/>
              </w:rPr>
            </w:pPr>
            <w:r w:rsidRPr="00C21F3F">
              <w:rPr>
                <w:rFonts w:ascii="Calibri" w:eastAsia="Calibri" w:hAnsi="Calibri" w:cs="Times New Roman"/>
                <w:b/>
                <w:bCs/>
                <w:sz w:val="16"/>
                <w:szCs w:val="16"/>
              </w:rPr>
              <w:t>Descriptor</w:t>
            </w:r>
          </w:p>
        </w:tc>
        <w:tc>
          <w:tcPr>
            <w:tcW w:w="1134" w:type="dxa"/>
            <w:vAlign w:val="center"/>
          </w:tcPr>
          <w:p w14:paraId="0E57DA19" w14:textId="77777777" w:rsidR="00C21F3F" w:rsidRPr="00C21F3F" w:rsidRDefault="00C21F3F" w:rsidP="00C21F3F">
            <w:pPr>
              <w:rPr>
                <w:rFonts w:ascii="Calibri" w:eastAsia="Calibri" w:hAnsi="Calibri" w:cs="Times New Roman"/>
                <w:b/>
                <w:bCs/>
                <w:sz w:val="16"/>
                <w:szCs w:val="16"/>
              </w:rPr>
            </w:pPr>
            <w:r w:rsidRPr="00C21F3F">
              <w:rPr>
                <w:rFonts w:ascii="Calibri" w:eastAsia="Calibri" w:hAnsi="Calibri" w:cs="Times New Roman"/>
                <w:b/>
                <w:bCs/>
                <w:sz w:val="16"/>
                <w:szCs w:val="16"/>
              </w:rPr>
              <w:t xml:space="preserve">ICD-O </w:t>
            </w:r>
            <w:proofErr w:type="spellStart"/>
            <w:r w:rsidRPr="00C21F3F">
              <w:rPr>
                <w:rFonts w:ascii="Calibri" w:eastAsia="Calibri" w:hAnsi="Calibri" w:cs="Times New Roman"/>
                <w:b/>
                <w:bCs/>
                <w:sz w:val="16"/>
                <w:szCs w:val="16"/>
              </w:rPr>
              <w:t>codes</w:t>
            </w:r>
            <w:r w:rsidRPr="00C21F3F">
              <w:rPr>
                <w:rFonts w:ascii="Calibri" w:eastAsia="Calibri" w:hAnsi="Calibri" w:cs="Times New Roman"/>
                <w:b/>
                <w:bCs/>
                <w:sz w:val="16"/>
                <w:szCs w:val="16"/>
                <w:vertAlign w:val="superscript"/>
              </w:rPr>
              <w:t>a</w:t>
            </w:r>
            <w:proofErr w:type="spellEnd"/>
          </w:p>
        </w:tc>
      </w:tr>
      <w:tr w:rsidR="00C21F3F" w:rsidRPr="00C21F3F" w14:paraId="0E57DA1D" w14:textId="77777777" w:rsidTr="00E57012">
        <w:trPr>
          <w:trHeight w:val="255"/>
        </w:trPr>
        <w:tc>
          <w:tcPr>
            <w:tcW w:w="3969" w:type="dxa"/>
            <w:vAlign w:val="center"/>
          </w:tcPr>
          <w:p w14:paraId="0E57DA1B"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b/>
                <w:bCs/>
                <w:sz w:val="16"/>
                <w:szCs w:val="16"/>
              </w:rPr>
              <w:t xml:space="preserve">Chondrogenic </w:t>
            </w:r>
            <w:proofErr w:type="spellStart"/>
            <w:r w:rsidRPr="00C21F3F">
              <w:rPr>
                <w:rFonts w:ascii="Calibri" w:eastAsia="Calibri" w:hAnsi="Calibri" w:cs="Times New Roman"/>
                <w:b/>
                <w:bCs/>
                <w:sz w:val="16"/>
                <w:szCs w:val="16"/>
              </w:rPr>
              <w:t>tumours</w:t>
            </w:r>
            <w:proofErr w:type="spellEnd"/>
            <w:r w:rsidRPr="00C21F3F">
              <w:rPr>
                <w:rFonts w:ascii="Calibri" w:eastAsia="Calibri" w:hAnsi="Calibri" w:cs="Times New Roman"/>
                <w:b/>
                <w:bCs/>
                <w:sz w:val="16"/>
                <w:szCs w:val="16"/>
              </w:rPr>
              <w:t xml:space="preserve"> </w:t>
            </w:r>
            <w:r w:rsidRPr="00C21F3F">
              <w:rPr>
                <w:rFonts w:ascii="Calibri" w:eastAsia="Calibri" w:hAnsi="Calibri" w:cs="Times New Roman"/>
                <w:sz w:val="16"/>
                <w:szCs w:val="16"/>
              </w:rPr>
              <w:t xml:space="preserve"> </w:t>
            </w:r>
          </w:p>
        </w:tc>
        <w:tc>
          <w:tcPr>
            <w:tcW w:w="1134" w:type="dxa"/>
            <w:vAlign w:val="center"/>
          </w:tcPr>
          <w:p w14:paraId="0E57DA1C" w14:textId="77777777" w:rsidR="00C21F3F" w:rsidRPr="00C21F3F" w:rsidRDefault="00C21F3F" w:rsidP="00C21F3F">
            <w:pPr>
              <w:rPr>
                <w:rFonts w:ascii="Calibri" w:eastAsia="Calibri" w:hAnsi="Calibri" w:cs="Times New Roman"/>
                <w:b/>
                <w:bCs/>
                <w:sz w:val="16"/>
                <w:szCs w:val="16"/>
              </w:rPr>
            </w:pPr>
          </w:p>
        </w:tc>
      </w:tr>
      <w:tr w:rsidR="00C21F3F" w:rsidRPr="00C21F3F" w14:paraId="0E57DA20" w14:textId="77777777" w:rsidTr="00E57012">
        <w:trPr>
          <w:trHeight w:val="255"/>
        </w:trPr>
        <w:tc>
          <w:tcPr>
            <w:tcW w:w="3969" w:type="dxa"/>
            <w:vAlign w:val="center"/>
          </w:tcPr>
          <w:p w14:paraId="0E57DA1E"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i/>
                <w:sz w:val="16"/>
                <w:szCs w:val="16"/>
              </w:rPr>
              <w:t xml:space="preserve">Intermediate (locally aggressive)  </w:t>
            </w:r>
          </w:p>
        </w:tc>
        <w:tc>
          <w:tcPr>
            <w:tcW w:w="1134" w:type="dxa"/>
            <w:vAlign w:val="center"/>
          </w:tcPr>
          <w:p w14:paraId="0E57DA1F" w14:textId="77777777" w:rsidR="00C21F3F" w:rsidRPr="00C21F3F" w:rsidRDefault="00C21F3F" w:rsidP="00C21F3F">
            <w:pPr>
              <w:rPr>
                <w:rFonts w:ascii="Calibri" w:eastAsia="Calibri" w:hAnsi="Calibri" w:cs="Times New Roman"/>
                <w:i/>
                <w:sz w:val="16"/>
                <w:szCs w:val="16"/>
              </w:rPr>
            </w:pPr>
          </w:p>
        </w:tc>
      </w:tr>
      <w:tr w:rsidR="00C21F3F" w:rsidRPr="00C21F3F" w14:paraId="0E57DA23" w14:textId="77777777" w:rsidTr="00E57012">
        <w:trPr>
          <w:trHeight w:val="255"/>
        </w:trPr>
        <w:tc>
          <w:tcPr>
            <w:tcW w:w="3969" w:type="dxa"/>
            <w:noWrap/>
            <w:vAlign w:val="center"/>
          </w:tcPr>
          <w:p w14:paraId="0E57DA21"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Atypical cartilaginous </w:t>
            </w:r>
            <w:proofErr w:type="spellStart"/>
            <w:r w:rsidRPr="00C21F3F">
              <w:rPr>
                <w:rFonts w:ascii="Calibri" w:eastAsia="Calibri" w:hAnsi="Calibri" w:cs="Times New Roman"/>
                <w:sz w:val="16"/>
                <w:szCs w:val="16"/>
              </w:rPr>
              <w:t>tumour</w:t>
            </w:r>
            <w:proofErr w:type="spellEnd"/>
            <w:r w:rsidRPr="00C21F3F">
              <w:rPr>
                <w:rFonts w:ascii="Calibri" w:eastAsia="Calibri" w:hAnsi="Calibri" w:cs="Times New Roman"/>
                <w:sz w:val="16"/>
                <w:szCs w:val="16"/>
              </w:rPr>
              <w:t xml:space="preserve"> </w:t>
            </w:r>
          </w:p>
        </w:tc>
        <w:tc>
          <w:tcPr>
            <w:tcW w:w="1134" w:type="dxa"/>
            <w:vAlign w:val="center"/>
          </w:tcPr>
          <w:p w14:paraId="0E57DA22" w14:textId="77777777" w:rsidR="00C21F3F" w:rsidRPr="00C21F3F" w:rsidRDefault="00C21F3F" w:rsidP="00C21F3F">
            <w:pPr>
              <w:rPr>
                <w:rFonts w:ascii="Calibri" w:eastAsia="Calibri" w:hAnsi="Calibri" w:cs="Times New Roman"/>
                <w:i/>
                <w:sz w:val="16"/>
                <w:szCs w:val="16"/>
              </w:rPr>
            </w:pPr>
            <w:r w:rsidRPr="00C21F3F">
              <w:rPr>
                <w:rFonts w:ascii="Calibri" w:eastAsia="Calibri" w:hAnsi="Calibri" w:cs="Times New Roman"/>
                <w:sz w:val="16"/>
                <w:szCs w:val="16"/>
              </w:rPr>
              <w:t xml:space="preserve">9222/1 </w:t>
            </w:r>
          </w:p>
        </w:tc>
      </w:tr>
      <w:tr w:rsidR="00C21F3F" w:rsidRPr="00C21F3F" w14:paraId="0E57DA26" w14:textId="77777777" w:rsidTr="00E57012">
        <w:trPr>
          <w:trHeight w:val="255"/>
        </w:trPr>
        <w:tc>
          <w:tcPr>
            <w:tcW w:w="3969" w:type="dxa"/>
            <w:noWrap/>
            <w:vAlign w:val="center"/>
            <w:hideMark/>
          </w:tcPr>
          <w:p w14:paraId="0E57DA24"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i/>
                <w:sz w:val="16"/>
                <w:szCs w:val="16"/>
              </w:rPr>
              <w:t>Malignant</w:t>
            </w:r>
          </w:p>
        </w:tc>
        <w:tc>
          <w:tcPr>
            <w:tcW w:w="1134" w:type="dxa"/>
            <w:vAlign w:val="center"/>
          </w:tcPr>
          <w:p w14:paraId="0E57DA25" w14:textId="77777777" w:rsidR="00C21F3F" w:rsidRPr="00C21F3F" w:rsidRDefault="00C21F3F" w:rsidP="00C21F3F">
            <w:pPr>
              <w:rPr>
                <w:rFonts w:ascii="Calibri" w:eastAsia="Calibri" w:hAnsi="Calibri" w:cs="Times New Roman"/>
                <w:i/>
                <w:sz w:val="16"/>
                <w:szCs w:val="16"/>
              </w:rPr>
            </w:pPr>
          </w:p>
        </w:tc>
      </w:tr>
      <w:tr w:rsidR="00C21F3F" w:rsidRPr="00C21F3F" w14:paraId="0E57DA29" w14:textId="77777777" w:rsidTr="00E57012">
        <w:trPr>
          <w:trHeight w:val="255"/>
        </w:trPr>
        <w:tc>
          <w:tcPr>
            <w:tcW w:w="3969" w:type="dxa"/>
            <w:noWrap/>
            <w:vAlign w:val="center"/>
            <w:hideMark/>
          </w:tcPr>
          <w:p w14:paraId="0E57DA27"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Chondrosarcoma, grade 1 </w:t>
            </w:r>
          </w:p>
        </w:tc>
        <w:tc>
          <w:tcPr>
            <w:tcW w:w="1134" w:type="dxa"/>
            <w:vAlign w:val="center"/>
          </w:tcPr>
          <w:p w14:paraId="0E57DA28"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9222/3* </w:t>
            </w:r>
          </w:p>
        </w:tc>
      </w:tr>
      <w:tr w:rsidR="00C21F3F" w:rsidRPr="00C21F3F" w14:paraId="0E57DA2C" w14:textId="77777777" w:rsidTr="00E57012">
        <w:trPr>
          <w:trHeight w:val="255"/>
        </w:trPr>
        <w:tc>
          <w:tcPr>
            <w:tcW w:w="3969" w:type="dxa"/>
            <w:noWrap/>
            <w:vAlign w:val="center"/>
            <w:hideMark/>
          </w:tcPr>
          <w:p w14:paraId="0E57DA2A"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Chondrosarcoma, grade 2 </w:t>
            </w:r>
          </w:p>
        </w:tc>
        <w:tc>
          <w:tcPr>
            <w:tcW w:w="1134" w:type="dxa"/>
            <w:vAlign w:val="center"/>
          </w:tcPr>
          <w:p w14:paraId="0E57DA2B"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9220/3 </w:t>
            </w:r>
          </w:p>
        </w:tc>
      </w:tr>
      <w:tr w:rsidR="00C21F3F" w:rsidRPr="00C21F3F" w14:paraId="0E57DA2F" w14:textId="77777777" w:rsidTr="00E57012">
        <w:trPr>
          <w:trHeight w:val="255"/>
        </w:trPr>
        <w:tc>
          <w:tcPr>
            <w:tcW w:w="3969" w:type="dxa"/>
            <w:noWrap/>
            <w:vAlign w:val="center"/>
            <w:hideMark/>
          </w:tcPr>
          <w:p w14:paraId="0E57DA2D"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Chondrosarcoma, grade 3 </w:t>
            </w:r>
          </w:p>
        </w:tc>
        <w:tc>
          <w:tcPr>
            <w:tcW w:w="1134" w:type="dxa"/>
            <w:vAlign w:val="center"/>
          </w:tcPr>
          <w:p w14:paraId="0E57DA2E"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9220/3 </w:t>
            </w:r>
          </w:p>
        </w:tc>
      </w:tr>
      <w:tr w:rsidR="00C21F3F" w:rsidRPr="00C21F3F" w14:paraId="0E57DA32" w14:textId="77777777" w:rsidTr="00E57012">
        <w:trPr>
          <w:trHeight w:val="255"/>
        </w:trPr>
        <w:tc>
          <w:tcPr>
            <w:tcW w:w="3969" w:type="dxa"/>
            <w:noWrap/>
            <w:vAlign w:val="center"/>
            <w:hideMark/>
          </w:tcPr>
          <w:p w14:paraId="0E57DA30"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Periosteal chondrosarcoma </w:t>
            </w:r>
          </w:p>
        </w:tc>
        <w:tc>
          <w:tcPr>
            <w:tcW w:w="1134" w:type="dxa"/>
            <w:vAlign w:val="center"/>
          </w:tcPr>
          <w:p w14:paraId="0E57DA31"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9221/3</w:t>
            </w:r>
          </w:p>
        </w:tc>
      </w:tr>
      <w:tr w:rsidR="00C21F3F" w:rsidRPr="00C21F3F" w14:paraId="0E57DA35" w14:textId="77777777" w:rsidTr="00E57012">
        <w:trPr>
          <w:trHeight w:val="255"/>
        </w:trPr>
        <w:tc>
          <w:tcPr>
            <w:tcW w:w="3969" w:type="dxa"/>
            <w:noWrap/>
            <w:vAlign w:val="center"/>
            <w:hideMark/>
          </w:tcPr>
          <w:p w14:paraId="0E57DA33"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Clear cell chondrosarcoma </w:t>
            </w:r>
          </w:p>
        </w:tc>
        <w:tc>
          <w:tcPr>
            <w:tcW w:w="1134" w:type="dxa"/>
            <w:vAlign w:val="center"/>
          </w:tcPr>
          <w:p w14:paraId="0E57DA34"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9242/3 </w:t>
            </w:r>
          </w:p>
        </w:tc>
      </w:tr>
      <w:tr w:rsidR="00C21F3F" w:rsidRPr="00C21F3F" w14:paraId="0E57DA38" w14:textId="77777777" w:rsidTr="00E57012">
        <w:trPr>
          <w:trHeight w:val="255"/>
        </w:trPr>
        <w:tc>
          <w:tcPr>
            <w:tcW w:w="3969" w:type="dxa"/>
            <w:noWrap/>
            <w:vAlign w:val="center"/>
            <w:hideMark/>
          </w:tcPr>
          <w:p w14:paraId="0E57DA36"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Mesenchymal chondrosarcoma </w:t>
            </w:r>
          </w:p>
        </w:tc>
        <w:tc>
          <w:tcPr>
            <w:tcW w:w="1134" w:type="dxa"/>
            <w:vAlign w:val="center"/>
          </w:tcPr>
          <w:p w14:paraId="0E57DA37"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9240/3</w:t>
            </w:r>
          </w:p>
        </w:tc>
      </w:tr>
      <w:tr w:rsidR="00C21F3F" w:rsidRPr="00C21F3F" w14:paraId="0E57DA3B" w14:textId="77777777" w:rsidTr="00E57012">
        <w:trPr>
          <w:trHeight w:val="255"/>
        </w:trPr>
        <w:tc>
          <w:tcPr>
            <w:tcW w:w="3969" w:type="dxa"/>
            <w:noWrap/>
            <w:vAlign w:val="center"/>
            <w:hideMark/>
          </w:tcPr>
          <w:p w14:paraId="0E57DA39"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Dedifferentiated chondrosarcoma </w:t>
            </w:r>
          </w:p>
        </w:tc>
        <w:tc>
          <w:tcPr>
            <w:tcW w:w="1134" w:type="dxa"/>
            <w:vAlign w:val="center"/>
          </w:tcPr>
          <w:p w14:paraId="0E57DA3A"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9243/3</w:t>
            </w:r>
          </w:p>
        </w:tc>
      </w:tr>
      <w:tr w:rsidR="00C21F3F" w:rsidRPr="00C21F3F" w14:paraId="0E57DA3E" w14:textId="77777777" w:rsidTr="00E57012">
        <w:trPr>
          <w:trHeight w:val="255"/>
        </w:trPr>
        <w:tc>
          <w:tcPr>
            <w:tcW w:w="3969" w:type="dxa"/>
            <w:vAlign w:val="center"/>
          </w:tcPr>
          <w:p w14:paraId="0E57DA3C"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b/>
                <w:bCs/>
                <w:sz w:val="16"/>
                <w:szCs w:val="16"/>
              </w:rPr>
              <w:t xml:space="preserve">Osteogenic </w:t>
            </w:r>
            <w:proofErr w:type="spellStart"/>
            <w:r w:rsidRPr="00C21F3F">
              <w:rPr>
                <w:rFonts w:ascii="Calibri" w:eastAsia="Calibri" w:hAnsi="Calibri" w:cs="Times New Roman"/>
                <w:b/>
                <w:bCs/>
                <w:sz w:val="16"/>
                <w:szCs w:val="16"/>
              </w:rPr>
              <w:t>tumours</w:t>
            </w:r>
            <w:proofErr w:type="spellEnd"/>
            <w:r w:rsidRPr="00C21F3F">
              <w:rPr>
                <w:rFonts w:ascii="Calibri" w:eastAsia="Calibri" w:hAnsi="Calibri" w:cs="Times New Roman"/>
                <w:b/>
                <w:bCs/>
                <w:sz w:val="16"/>
                <w:szCs w:val="16"/>
              </w:rPr>
              <w:t xml:space="preserve"> </w:t>
            </w:r>
            <w:r w:rsidRPr="00C21F3F">
              <w:rPr>
                <w:rFonts w:ascii="Calibri" w:eastAsia="Calibri" w:hAnsi="Calibri" w:cs="Times New Roman"/>
                <w:sz w:val="16"/>
                <w:szCs w:val="16"/>
              </w:rPr>
              <w:t xml:space="preserve"> </w:t>
            </w:r>
          </w:p>
        </w:tc>
        <w:tc>
          <w:tcPr>
            <w:tcW w:w="1134" w:type="dxa"/>
            <w:vAlign w:val="center"/>
          </w:tcPr>
          <w:p w14:paraId="0E57DA3D" w14:textId="77777777" w:rsidR="00C21F3F" w:rsidRPr="00C21F3F" w:rsidRDefault="00C21F3F" w:rsidP="00C21F3F">
            <w:pPr>
              <w:rPr>
                <w:rFonts w:ascii="Calibri" w:eastAsia="Calibri" w:hAnsi="Calibri" w:cs="Times New Roman"/>
                <w:b/>
                <w:bCs/>
                <w:sz w:val="16"/>
                <w:szCs w:val="16"/>
              </w:rPr>
            </w:pPr>
          </w:p>
        </w:tc>
      </w:tr>
      <w:tr w:rsidR="00C21F3F" w:rsidRPr="00C21F3F" w14:paraId="0E57DA41" w14:textId="77777777" w:rsidTr="00E57012">
        <w:trPr>
          <w:trHeight w:val="255"/>
        </w:trPr>
        <w:tc>
          <w:tcPr>
            <w:tcW w:w="3969" w:type="dxa"/>
            <w:vAlign w:val="center"/>
          </w:tcPr>
          <w:p w14:paraId="0E57DA3F"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i/>
                <w:sz w:val="16"/>
                <w:szCs w:val="16"/>
              </w:rPr>
              <w:t xml:space="preserve">Malignant </w:t>
            </w:r>
            <w:r w:rsidRPr="00C21F3F">
              <w:rPr>
                <w:rFonts w:ascii="Calibri" w:eastAsia="Calibri" w:hAnsi="Calibri" w:cs="Times New Roman"/>
                <w:sz w:val="16"/>
                <w:szCs w:val="16"/>
              </w:rPr>
              <w:t xml:space="preserve"> </w:t>
            </w:r>
          </w:p>
        </w:tc>
        <w:tc>
          <w:tcPr>
            <w:tcW w:w="1134" w:type="dxa"/>
            <w:vAlign w:val="center"/>
          </w:tcPr>
          <w:p w14:paraId="0E57DA40" w14:textId="77777777" w:rsidR="00C21F3F" w:rsidRPr="00C21F3F" w:rsidRDefault="00C21F3F" w:rsidP="00C21F3F">
            <w:pPr>
              <w:rPr>
                <w:rFonts w:ascii="Calibri" w:eastAsia="Calibri" w:hAnsi="Calibri" w:cs="Times New Roman"/>
                <w:i/>
                <w:sz w:val="16"/>
                <w:szCs w:val="16"/>
              </w:rPr>
            </w:pPr>
          </w:p>
        </w:tc>
      </w:tr>
      <w:tr w:rsidR="00C21F3F" w:rsidRPr="00C21F3F" w14:paraId="0E57DA44" w14:textId="77777777" w:rsidTr="00E57012">
        <w:trPr>
          <w:trHeight w:val="255"/>
        </w:trPr>
        <w:tc>
          <w:tcPr>
            <w:tcW w:w="3969" w:type="dxa"/>
            <w:noWrap/>
            <w:vAlign w:val="center"/>
            <w:hideMark/>
          </w:tcPr>
          <w:p w14:paraId="0E57DA42"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Low-grade central osteosarcoma </w:t>
            </w:r>
          </w:p>
        </w:tc>
        <w:tc>
          <w:tcPr>
            <w:tcW w:w="1134" w:type="dxa"/>
            <w:vAlign w:val="center"/>
          </w:tcPr>
          <w:p w14:paraId="0E57DA43"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9187/3 </w:t>
            </w:r>
          </w:p>
        </w:tc>
      </w:tr>
      <w:tr w:rsidR="00C21F3F" w:rsidRPr="00C21F3F" w14:paraId="0E57DA47" w14:textId="77777777" w:rsidTr="00E57012">
        <w:trPr>
          <w:trHeight w:val="255"/>
        </w:trPr>
        <w:tc>
          <w:tcPr>
            <w:tcW w:w="3969" w:type="dxa"/>
            <w:noWrap/>
            <w:vAlign w:val="center"/>
            <w:hideMark/>
          </w:tcPr>
          <w:p w14:paraId="0E57DA45"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Osteosarcoma  </w:t>
            </w:r>
          </w:p>
        </w:tc>
        <w:tc>
          <w:tcPr>
            <w:tcW w:w="1134" w:type="dxa"/>
            <w:vAlign w:val="center"/>
          </w:tcPr>
          <w:p w14:paraId="0E57DA46"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9180/3</w:t>
            </w:r>
          </w:p>
        </w:tc>
      </w:tr>
      <w:tr w:rsidR="00C21F3F" w:rsidRPr="00C21F3F" w14:paraId="0E57DA4A" w14:textId="77777777" w:rsidTr="00E57012">
        <w:trPr>
          <w:trHeight w:val="255"/>
        </w:trPr>
        <w:tc>
          <w:tcPr>
            <w:tcW w:w="3969" w:type="dxa"/>
            <w:noWrap/>
            <w:vAlign w:val="center"/>
            <w:hideMark/>
          </w:tcPr>
          <w:p w14:paraId="0E57DA48"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Conventional osteosarcoma </w:t>
            </w:r>
          </w:p>
        </w:tc>
        <w:tc>
          <w:tcPr>
            <w:tcW w:w="1134" w:type="dxa"/>
            <w:vAlign w:val="center"/>
          </w:tcPr>
          <w:p w14:paraId="0E57DA49" w14:textId="77777777" w:rsidR="00C21F3F" w:rsidRPr="00C21F3F" w:rsidRDefault="00C21F3F" w:rsidP="00C21F3F">
            <w:pPr>
              <w:rPr>
                <w:rFonts w:ascii="Calibri" w:eastAsia="Calibri" w:hAnsi="Calibri" w:cs="Times New Roman"/>
                <w:sz w:val="16"/>
                <w:szCs w:val="16"/>
              </w:rPr>
            </w:pPr>
          </w:p>
        </w:tc>
      </w:tr>
      <w:tr w:rsidR="00C21F3F" w:rsidRPr="00C21F3F" w14:paraId="0E57DA4D" w14:textId="77777777" w:rsidTr="00E57012">
        <w:trPr>
          <w:trHeight w:val="255"/>
        </w:trPr>
        <w:tc>
          <w:tcPr>
            <w:tcW w:w="3969" w:type="dxa"/>
            <w:noWrap/>
            <w:vAlign w:val="center"/>
            <w:hideMark/>
          </w:tcPr>
          <w:p w14:paraId="0E57DA4B"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Telangiectatic osteosarcoma </w:t>
            </w:r>
          </w:p>
        </w:tc>
        <w:tc>
          <w:tcPr>
            <w:tcW w:w="1134" w:type="dxa"/>
            <w:vAlign w:val="center"/>
          </w:tcPr>
          <w:p w14:paraId="0E57DA4C" w14:textId="77777777" w:rsidR="00C21F3F" w:rsidRPr="00C21F3F" w:rsidRDefault="00C21F3F" w:rsidP="00C21F3F">
            <w:pPr>
              <w:rPr>
                <w:rFonts w:ascii="Calibri" w:eastAsia="Calibri" w:hAnsi="Calibri" w:cs="Times New Roman"/>
                <w:sz w:val="16"/>
                <w:szCs w:val="16"/>
              </w:rPr>
            </w:pPr>
          </w:p>
        </w:tc>
      </w:tr>
      <w:tr w:rsidR="00C21F3F" w:rsidRPr="00C21F3F" w14:paraId="0E57DA50" w14:textId="77777777" w:rsidTr="00E57012">
        <w:trPr>
          <w:trHeight w:val="255"/>
        </w:trPr>
        <w:tc>
          <w:tcPr>
            <w:tcW w:w="3969" w:type="dxa"/>
            <w:noWrap/>
            <w:vAlign w:val="center"/>
            <w:hideMark/>
          </w:tcPr>
          <w:p w14:paraId="0E57DA4E"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Small cell osteosarcoma </w:t>
            </w:r>
          </w:p>
        </w:tc>
        <w:tc>
          <w:tcPr>
            <w:tcW w:w="1134" w:type="dxa"/>
            <w:vAlign w:val="center"/>
          </w:tcPr>
          <w:p w14:paraId="0E57DA4F" w14:textId="77777777" w:rsidR="00C21F3F" w:rsidRPr="00C21F3F" w:rsidRDefault="00C21F3F" w:rsidP="00C21F3F">
            <w:pPr>
              <w:rPr>
                <w:rFonts w:ascii="Calibri" w:eastAsia="Calibri" w:hAnsi="Calibri" w:cs="Times New Roman"/>
                <w:sz w:val="16"/>
                <w:szCs w:val="16"/>
              </w:rPr>
            </w:pPr>
          </w:p>
        </w:tc>
      </w:tr>
      <w:tr w:rsidR="00C21F3F" w:rsidRPr="00C21F3F" w14:paraId="0E57DA53" w14:textId="77777777" w:rsidTr="00E57012">
        <w:trPr>
          <w:trHeight w:val="255"/>
        </w:trPr>
        <w:tc>
          <w:tcPr>
            <w:tcW w:w="3969" w:type="dxa"/>
            <w:noWrap/>
            <w:vAlign w:val="center"/>
            <w:hideMark/>
          </w:tcPr>
          <w:p w14:paraId="0E57DA51" w14:textId="77777777" w:rsidR="00C21F3F" w:rsidRPr="00C21F3F" w:rsidRDefault="00C21F3F" w:rsidP="00C21F3F">
            <w:pPr>
              <w:rPr>
                <w:rFonts w:ascii="Calibri" w:eastAsia="Calibri" w:hAnsi="Calibri" w:cs="Times New Roman"/>
                <w:sz w:val="16"/>
                <w:szCs w:val="16"/>
              </w:rPr>
            </w:pPr>
            <w:proofErr w:type="spellStart"/>
            <w:r w:rsidRPr="00C21F3F">
              <w:rPr>
                <w:rFonts w:ascii="Calibri" w:eastAsia="Calibri" w:hAnsi="Calibri" w:cs="Times New Roman"/>
                <w:sz w:val="16"/>
                <w:szCs w:val="16"/>
              </w:rPr>
              <w:t>Parosteal</w:t>
            </w:r>
            <w:proofErr w:type="spellEnd"/>
            <w:r w:rsidRPr="00C21F3F">
              <w:rPr>
                <w:rFonts w:ascii="Calibri" w:eastAsia="Calibri" w:hAnsi="Calibri" w:cs="Times New Roman"/>
                <w:sz w:val="16"/>
                <w:szCs w:val="16"/>
              </w:rPr>
              <w:t xml:space="preserve"> osteosarcoma </w:t>
            </w:r>
          </w:p>
        </w:tc>
        <w:tc>
          <w:tcPr>
            <w:tcW w:w="1134" w:type="dxa"/>
            <w:vAlign w:val="center"/>
          </w:tcPr>
          <w:p w14:paraId="0E57DA52"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9192/3</w:t>
            </w:r>
          </w:p>
        </w:tc>
      </w:tr>
      <w:tr w:rsidR="00C21F3F" w:rsidRPr="00C21F3F" w14:paraId="0E57DA56" w14:textId="77777777" w:rsidTr="00E57012">
        <w:trPr>
          <w:trHeight w:val="255"/>
        </w:trPr>
        <w:tc>
          <w:tcPr>
            <w:tcW w:w="3969" w:type="dxa"/>
            <w:noWrap/>
            <w:vAlign w:val="center"/>
            <w:hideMark/>
          </w:tcPr>
          <w:p w14:paraId="0E57DA54"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Periosteal osteosarcoma </w:t>
            </w:r>
          </w:p>
        </w:tc>
        <w:tc>
          <w:tcPr>
            <w:tcW w:w="1134" w:type="dxa"/>
            <w:vAlign w:val="center"/>
          </w:tcPr>
          <w:p w14:paraId="0E57DA55"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9193/3</w:t>
            </w:r>
          </w:p>
        </w:tc>
      </w:tr>
      <w:tr w:rsidR="00C21F3F" w:rsidRPr="00C21F3F" w14:paraId="0E57DA59" w14:textId="77777777" w:rsidTr="00E57012">
        <w:trPr>
          <w:trHeight w:val="255"/>
        </w:trPr>
        <w:tc>
          <w:tcPr>
            <w:tcW w:w="3969" w:type="dxa"/>
            <w:noWrap/>
            <w:vAlign w:val="center"/>
            <w:hideMark/>
          </w:tcPr>
          <w:p w14:paraId="0E57DA57"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High-grade surface osteosarcoma </w:t>
            </w:r>
          </w:p>
        </w:tc>
        <w:tc>
          <w:tcPr>
            <w:tcW w:w="1134" w:type="dxa"/>
            <w:vAlign w:val="center"/>
          </w:tcPr>
          <w:p w14:paraId="0E57DA58"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9194/3 </w:t>
            </w:r>
          </w:p>
        </w:tc>
      </w:tr>
      <w:tr w:rsidR="00C21F3F" w:rsidRPr="00C21F3F" w14:paraId="0E57DA5C" w14:textId="77777777" w:rsidTr="00E57012">
        <w:trPr>
          <w:trHeight w:val="255"/>
        </w:trPr>
        <w:tc>
          <w:tcPr>
            <w:tcW w:w="3969" w:type="dxa"/>
            <w:noWrap/>
            <w:vAlign w:val="center"/>
            <w:hideMark/>
          </w:tcPr>
          <w:p w14:paraId="0E57DA5A"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Secondary osteosarcoma </w:t>
            </w:r>
          </w:p>
        </w:tc>
        <w:tc>
          <w:tcPr>
            <w:tcW w:w="1134" w:type="dxa"/>
            <w:vAlign w:val="center"/>
          </w:tcPr>
          <w:p w14:paraId="0E57DA5B"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9184/3</w:t>
            </w:r>
          </w:p>
        </w:tc>
      </w:tr>
      <w:tr w:rsidR="00C21F3F" w:rsidRPr="00C21F3F" w14:paraId="0E57DA5F" w14:textId="77777777" w:rsidTr="00E57012">
        <w:trPr>
          <w:trHeight w:val="255"/>
        </w:trPr>
        <w:tc>
          <w:tcPr>
            <w:tcW w:w="3969" w:type="dxa"/>
            <w:vAlign w:val="center"/>
          </w:tcPr>
          <w:p w14:paraId="0E57DA5D" w14:textId="77777777" w:rsidR="00C21F3F" w:rsidRPr="00C21F3F" w:rsidRDefault="00C21F3F" w:rsidP="00C21F3F">
            <w:pPr>
              <w:rPr>
                <w:rFonts w:ascii="Calibri" w:eastAsia="Calibri" w:hAnsi="Calibri" w:cs="Times New Roman"/>
                <w:sz w:val="16"/>
                <w:szCs w:val="16"/>
              </w:rPr>
            </w:pPr>
            <w:proofErr w:type="spellStart"/>
            <w:r w:rsidRPr="00C21F3F">
              <w:rPr>
                <w:rFonts w:ascii="Calibri" w:eastAsia="Calibri" w:hAnsi="Calibri" w:cs="Times New Roman"/>
                <w:b/>
                <w:bCs/>
                <w:sz w:val="16"/>
                <w:szCs w:val="16"/>
              </w:rPr>
              <w:t>Fibrogenic</w:t>
            </w:r>
            <w:proofErr w:type="spellEnd"/>
            <w:r w:rsidRPr="00C21F3F">
              <w:rPr>
                <w:rFonts w:ascii="Calibri" w:eastAsia="Calibri" w:hAnsi="Calibri" w:cs="Times New Roman"/>
                <w:b/>
                <w:bCs/>
                <w:sz w:val="16"/>
                <w:szCs w:val="16"/>
              </w:rPr>
              <w:t xml:space="preserve"> </w:t>
            </w:r>
            <w:proofErr w:type="spellStart"/>
            <w:r w:rsidRPr="00C21F3F">
              <w:rPr>
                <w:rFonts w:ascii="Calibri" w:eastAsia="Calibri" w:hAnsi="Calibri" w:cs="Times New Roman"/>
                <w:b/>
                <w:bCs/>
                <w:sz w:val="16"/>
                <w:szCs w:val="16"/>
              </w:rPr>
              <w:t>tumours</w:t>
            </w:r>
            <w:proofErr w:type="spellEnd"/>
            <w:r w:rsidRPr="00C21F3F">
              <w:rPr>
                <w:rFonts w:ascii="Calibri" w:eastAsia="Calibri" w:hAnsi="Calibri" w:cs="Times New Roman"/>
                <w:b/>
                <w:bCs/>
                <w:sz w:val="16"/>
                <w:szCs w:val="16"/>
              </w:rPr>
              <w:t xml:space="preserve"> </w:t>
            </w:r>
            <w:r w:rsidRPr="00C21F3F">
              <w:rPr>
                <w:rFonts w:ascii="Calibri" w:eastAsia="Calibri" w:hAnsi="Calibri" w:cs="Times New Roman"/>
                <w:sz w:val="16"/>
                <w:szCs w:val="16"/>
              </w:rPr>
              <w:t xml:space="preserve"> </w:t>
            </w:r>
          </w:p>
        </w:tc>
        <w:tc>
          <w:tcPr>
            <w:tcW w:w="1134" w:type="dxa"/>
          </w:tcPr>
          <w:p w14:paraId="0E57DA5E" w14:textId="77777777" w:rsidR="00C21F3F" w:rsidRPr="00C21F3F" w:rsidRDefault="00C21F3F" w:rsidP="00C21F3F">
            <w:pPr>
              <w:rPr>
                <w:rFonts w:ascii="Calibri" w:eastAsia="Calibri" w:hAnsi="Calibri" w:cs="Times New Roman"/>
                <w:b/>
                <w:bCs/>
                <w:sz w:val="16"/>
                <w:szCs w:val="16"/>
              </w:rPr>
            </w:pPr>
          </w:p>
        </w:tc>
      </w:tr>
      <w:tr w:rsidR="00C21F3F" w:rsidRPr="00C21F3F" w14:paraId="0E57DA62" w14:textId="77777777" w:rsidTr="00E57012">
        <w:trPr>
          <w:trHeight w:val="255"/>
        </w:trPr>
        <w:tc>
          <w:tcPr>
            <w:tcW w:w="3969" w:type="dxa"/>
            <w:vAlign w:val="center"/>
          </w:tcPr>
          <w:p w14:paraId="0E57DA60"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i/>
                <w:sz w:val="16"/>
                <w:szCs w:val="16"/>
              </w:rPr>
              <w:t xml:space="preserve">Malignant </w:t>
            </w:r>
            <w:r w:rsidRPr="00C21F3F">
              <w:rPr>
                <w:rFonts w:ascii="Calibri" w:eastAsia="Calibri" w:hAnsi="Calibri" w:cs="Times New Roman"/>
                <w:sz w:val="16"/>
                <w:szCs w:val="16"/>
              </w:rPr>
              <w:t xml:space="preserve"> </w:t>
            </w:r>
          </w:p>
        </w:tc>
        <w:tc>
          <w:tcPr>
            <w:tcW w:w="1134" w:type="dxa"/>
          </w:tcPr>
          <w:p w14:paraId="0E57DA61" w14:textId="77777777" w:rsidR="00C21F3F" w:rsidRPr="00C21F3F" w:rsidRDefault="00C21F3F" w:rsidP="00C21F3F">
            <w:pPr>
              <w:rPr>
                <w:rFonts w:ascii="Calibri" w:eastAsia="Calibri" w:hAnsi="Calibri" w:cs="Times New Roman"/>
                <w:i/>
                <w:sz w:val="16"/>
                <w:szCs w:val="16"/>
              </w:rPr>
            </w:pPr>
          </w:p>
        </w:tc>
      </w:tr>
      <w:tr w:rsidR="00C21F3F" w:rsidRPr="00C21F3F" w14:paraId="0E57DA65" w14:textId="77777777" w:rsidTr="00E57012">
        <w:trPr>
          <w:trHeight w:val="255"/>
        </w:trPr>
        <w:tc>
          <w:tcPr>
            <w:tcW w:w="3969" w:type="dxa"/>
            <w:noWrap/>
            <w:vAlign w:val="center"/>
            <w:hideMark/>
          </w:tcPr>
          <w:p w14:paraId="0E57DA63"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Fibrosarcoma NOS </w:t>
            </w:r>
          </w:p>
        </w:tc>
        <w:tc>
          <w:tcPr>
            <w:tcW w:w="1134" w:type="dxa"/>
          </w:tcPr>
          <w:p w14:paraId="0E57DA64"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8810/3</w:t>
            </w:r>
          </w:p>
        </w:tc>
      </w:tr>
      <w:tr w:rsidR="00C21F3F" w:rsidRPr="00C21F3F" w14:paraId="0E57DA68" w14:textId="77777777" w:rsidTr="00E57012">
        <w:trPr>
          <w:trHeight w:val="255"/>
        </w:trPr>
        <w:tc>
          <w:tcPr>
            <w:tcW w:w="3969" w:type="dxa"/>
            <w:vAlign w:val="center"/>
          </w:tcPr>
          <w:p w14:paraId="0E57DA66"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b/>
                <w:bCs/>
                <w:sz w:val="16"/>
                <w:szCs w:val="16"/>
              </w:rPr>
              <w:t xml:space="preserve">Vascular </w:t>
            </w:r>
            <w:proofErr w:type="spellStart"/>
            <w:r w:rsidRPr="00C21F3F">
              <w:rPr>
                <w:rFonts w:ascii="Calibri" w:eastAsia="Calibri" w:hAnsi="Calibri" w:cs="Times New Roman"/>
                <w:b/>
                <w:bCs/>
                <w:sz w:val="16"/>
                <w:szCs w:val="16"/>
              </w:rPr>
              <w:t>tumours</w:t>
            </w:r>
            <w:proofErr w:type="spellEnd"/>
            <w:r w:rsidRPr="00C21F3F">
              <w:rPr>
                <w:rFonts w:ascii="Calibri" w:eastAsia="Calibri" w:hAnsi="Calibri" w:cs="Times New Roman"/>
                <w:b/>
                <w:bCs/>
                <w:sz w:val="16"/>
                <w:szCs w:val="16"/>
              </w:rPr>
              <w:t xml:space="preserve"> of bone </w:t>
            </w:r>
            <w:r w:rsidRPr="00C21F3F">
              <w:rPr>
                <w:rFonts w:ascii="Calibri" w:eastAsia="Calibri" w:hAnsi="Calibri" w:cs="Times New Roman"/>
                <w:sz w:val="16"/>
                <w:szCs w:val="16"/>
              </w:rPr>
              <w:t xml:space="preserve"> </w:t>
            </w:r>
          </w:p>
        </w:tc>
        <w:tc>
          <w:tcPr>
            <w:tcW w:w="1134" w:type="dxa"/>
          </w:tcPr>
          <w:p w14:paraId="0E57DA67" w14:textId="77777777" w:rsidR="00C21F3F" w:rsidRPr="00C21F3F" w:rsidRDefault="00C21F3F" w:rsidP="00C21F3F">
            <w:pPr>
              <w:rPr>
                <w:rFonts w:ascii="Calibri" w:eastAsia="Calibri" w:hAnsi="Calibri" w:cs="Times New Roman"/>
                <w:b/>
                <w:bCs/>
                <w:sz w:val="16"/>
                <w:szCs w:val="16"/>
              </w:rPr>
            </w:pPr>
          </w:p>
        </w:tc>
      </w:tr>
      <w:tr w:rsidR="00C21F3F" w:rsidRPr="00C21F3F" w14:paraId="0E57DA6B" w14:textId="77777777" w:rsidTr="00E57012">
        <w:trPr>
          <w:trHeight w:val="255"/>
        </w:trPr>
        <w:tc>
          <w:tcPr>
            <w:tcW w:w="3969" w:type="dxa"/>
            <w:vAlign w:val="center"/>
          </w:tcPr>
          <w:p w14:paraId="0E57DA69"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i/>
                <w:sz w:val="16"/>
                <w:szCs w:val="16"/>
              </w:rPr>
              <w:t xml:space="preserve">Malignant </w:t>
            </w:r>
            <w:r w:rsidRPr="00C21F3F">
              <w:rPr>
                <w:rFonts w:ascii="Calibri" w:eastAsia="Calibri" w:hAnsi="Calibri" w:cs="Times New Roman"/>
                <w:sz w:val="16"/>
                <w:szCs w:val="16"/>
              </w:rPr>
              <w:t xml:space="preserve"> </w:t>
            </w:r>
          </w:p>
        </w:tc>
        <w:tc>
          <w:tcPr>
            <w:tcW w:w="1134" w:type="dxa"/>
          </w:tcPr>
          <w:p w14:paraId="0E57DA6A" w14:textId="77777777" w:rsidR="00C21F3F" w:rsidRPr="00C21F3F" w:rsidRDefault="00C21F3F" w:rsidP="00C21F3F">
            <w:pPr>
              <w:rPr>
                <w:rFonts w:ascii="Calibri" w:eastAsia="Calibri" w:hAnsi="Calibri" w:cs="Times New Roman"/>
                <w:i/>
                <w:sz w:val="16"/>
                <w:szCs w:val="16"/>
              </w:rPr>
            </w:pPr>
          </w:p>
        </w:tc>
      </w:tr>
      <w:tr w:rsidR="00C21F3F" w:rsidRPr="00C21F3F" w14:paraId="0E57DA6E" w14:textId="77777777" w:rsidTr="00E57012">
        <w:trPr>
          <w:trHeight w:val="255"/>
        </w:trPr>
        <w:tc>
          <w:tcPr>
            <w:tcW w:w="3969" w:type="dxa"/>
            <w:noWrap/>
            <w:vAlign w:val="center"/>
            <w:hideMark/>
          </w:tcPr>
          <w:p w14:paraId="0E57DA6C"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Epithelioid </w:t>
            </w:r>
            <w:proofErr w:type="spellStart"/>
            <w:r w:rsidRPr="00C21F3F">
              <w:rPr>
                <w:rFonts w:ascii="Calibri" w:eastAsia="Calibri" w:hAnsi="Calibri" w:cs="Times New Roman"/>
                <w:sz w:val="16"/>
                <w:szCs w:val="16"/>
              </w:rPr>
              <w:t>haemangioendothelioma</w:t>
            </w:r>
            <w:proofErr w:type="spellEnd"/>
            <w:r w:rsidRPr="00C21F3F">
              <w:rPr>
                <w:rFonts w:ascii="Calibri" w:eastAsia="Calibri" w:hAnsi="Calibri" w:cs="Times New Roman"/>
                <w:sz w:val="16"/>
                <w:szCs w:val="16"/>
              </w:rPr>
              <w:t xml:space="preserve"> NOS </w:t>
            </w:r>
          </w:p>
        </w:tc>
        <w:tc>
          <w:tcPr>
            <w:tcW w:w="1134" w:type="dxa"/>
            <w:vAlign w:val="center"/>
          </w:tcPr>
          <w:p w14:paraId="0E57DA6D"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9133/3 </w:t>
            </w:r>
          </w:p>
        </w:tc>
      </w:tr>
      <w:tr w:rsidR="00C21F3F" w:rsidRPr="00C21F3F" w14:paraId="0E57DA71" w14:textId="77777777" w:rsidTr="00E57012">
        <w:trPr>
          <w:trHeight w:val="255"/>
        </w:trPr>
        <w:tc>
          <w:tcPr>
            <w:tcW w:w="3969" w:type="dxa"/>
            <w:noWrap/>
            <w:vAlign w:val="center"/>
            <w:hideMark/>
          </w:tcPr>
          <w:p w14:paraId="0E57DA6F"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Angiosarcoma </w:t>
            </w:r>
          </w:p>
        </w:tc>
        <w:tc>
          <w:tcPr>
            <w:tcW w:w="1134" w:type="dxa"/>
            <w:vAlign w:val="center"/>
          </w:tcPr>
          <w:p w14:paraId="0E57DA70"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9120/3</w:t>
            </w:r>
          </w:p>
        </w:tc>
      </w:tr>
      <w:tr w:rsidR="00C21F3F" w:rsidRPr="00C21F3F" w14:paraId="0E57DA74" w14:textId="77777777" w:rsidTr="00E57012">
        <w:trPr>
          <w:trHeight w:val="255"/>
        </w:trPr>
        <w:tc>
          <w:tcPr>
            <w:tcW w:w="3969" w:type="dxa"/>
            <w:vAlign w:val="center"/>
          </w:tcPr>
          <w:p w14:paraId="0E57DA72"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b/>
                <w:bCs/>
                <w:sz w:val="16"/>
                <w:szCs w:val="16"/>
              </w:rPr>
              <w:t xml:space="preserve">Osteoclastic giant cell–rich </w:t>
            </w:r>
            <w:proofErr w:type="spellStart"/>
            <w:r w:rsidRPr="00C21F3F">
              <w:rPr>
                <w:rFonts w:ascii="Calibri" w:eastAsia="Calibri" w:hAnsi="Calibri" w:cs="Times New Roman"/>
                <w:b/>
                <w:bCs/>
                <w:sz w:val="16"/>
                <w:szCs w:val="16"/>
              </w:rPr>
              <w:t>tumours</w:t>
            </w:r>
            <w:proofErr w:type="spellEnd"/>
            <w:r w:rsidRPr="00C21F3F">
              <w:rPr>
                <w:rFonts w:ascii="Calibri" w:eastAsia="Calibri" w:hAnsi="Calibri" w:cs="Times New Roman"/>
                <w:b/>
                <w:bCs/>
                <w:sz w:val="16"/>
                <w:szCs w:val="16"/>
              </w:rPr>
              <w:t xml:space="preserve"> </w:t>
            </w:r>
            <w:r w:rsidRPr="00C21F3F">
              <w:rPr>
                <w:rFonts w:ascii="Calibri" w:eastAsia="Calibri" w:hAnsi="Calibri" w:cs="Times New Roman"/>
                <w:sz w:val="16"/>
                <w:szCs w:val="16"/>
              </w:rPr>
              <w:t xml:space="preserve"> </w:t>
            </w:r>
          </w:p>
        </w:tc>
        <w:tc>
          <w:tcPr>
            <w:tcW w:w="1134" w:type="dxa"/>
          </w:tcPr>
          <w:p w14:paraId="0E57DA73" w14:textId="77777777" w:rsidR="00C21F3F" w:rsidRPr="00C21F3F" w:rsidRDefault="00C21F3F" w:rsidP="00C21F3F">
            <w:pPr>
              <w:rPr>
                <w:rFonts w:ascii="Calibri" w:eastAsia="Calibri" w:hAnsi="Calibri" w:cs="Times New Roman"/>
                <w:b/>
                <w:bCs/>
                <w:sz w:val="16"/>
                <w:szCs w:val="16"/>
              </w:rPr>
            </w:pPr>
          </w:p>
        </w:tc>
      </w:tr>
      <w:tr w:rsidR="00C21F3F" w:rsidRPr="00C21F3F" w14:paraId="0E57DA77" w14:textId="77777777" w:rsidTr="00E57012">
        <w:trPr>
          <w:trHeight w:val="255"/>
        </w:trPr>
        <w:tc>
          <w:tcPr>
            <w:tcW w:w="3969" w:type="dxa"/>
            <w:vAlign w:val="center"/>
          </w:tcPr>
          <w:p w14:paraId="0E57DA75"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i/>
                <w:sz w:val="16"/>
                <w:szCs w:val="16"/>
              </w:rPr>
              <w:t>Intermediate (locally aggressive, rarely metastasizing)</w:t>
            </w:r>
            <w:r w:rsidRPr="00C21F3F">
              <w:rPr>
                <w:rFonts w:ascii="Calibri" w:eastAsia="Calibri" w:hAnsi="Calibri" w:cs="Times New Roman"/>
                <w:sz w:val="16"/>
                <w:szCs w:val="16"/>
              </w:rPr>
              <w:t xml:space="preserve"> </w:t>
            </w:r>
          </w:p>
        </w:tc>
        <w:tc>
          <w:tcPr>
            <w:tcW w:w="1134" w:type="dxa"/>
          </w:tcPr>
          <w:p w14:paraId="0E57DA76" w14:textId="77777777" w:rsidR="00C21F3F" w:rsidRPr="00C21F3F" w:rsidRDefault="00C21F3F" w:rsidP="00C21F3F">
            <w:pPr>
              <w:rPr>
                <w:rFonts w:ascii="Calibri" w:eastAsia="Calibri" w:hAnsi="Calibri" w:cs="Times New Roman"/>
                <w:i/>
                <w:sz w:val="16"/>
                <w:szCs w:val="16"/>
              </w:rPr>
            </w:pPr>
          </w:p>
        </w:tc>
      </w:tr>
      <w:tr w:rsidR="00C21F3F" w:rsidRPr="00C21F3F" w14:paraId="0E57DA7A" w14:textId="77777777" w:rsidTr="00E57012">
        <w:trPr>
          <w:trHeight w:val="255"/>
        </w:trPr>
        <w:tc>
          <w:tcPr>
            <w:tcW w:w="3969" w:type="dxa"/>
            <w:noWrap/>
            <w:vAlign w:val="center"/>
            <w:hideMark/>
          </w:tcPr>
          <w:p w14:paraId="0E57DA78"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Giant cell </w:t>
            </w:r>
            <w:proofErr w:type="spellStart"/>
            <w:r w:rsidRPr="00C21F3F">
              <w:rPr>
                <w:rFonts w:ascii="Calibri" w:eastAsia="Calibri" w:hAnsi="Calibri" w:cs="Times New Roman"/>
                <w:sz w:val="16"/>
                <w:szCs w:val="16"/>
              </w:rPr>
              <w:t>tumour</w:t>
            </w:r>
            <w:proofErr w:type="spellEnd"/>
            <w:r w:rsidRPr="00C21F3F">
              <w:rPr>
                <w:rFonts w:ascii="Calibri" w:eastAsia="Calibri" w:hAnsi="Calibri" w:cs="Times New Roman"/>
                <w:sz w:val="16"/>
                <w:szCs w:val="16"/>
              </w:rPr>
              <w:t xml:space="preserve"> of bone </w:t>
            </w:r>
          </w:p>
        </w:tc>
        <w:tc>
          <w:tcPr>
            <w:tcW w:w="1134" w:type="dxa"/>
          </w:tcPr>
          <w:p w14:paraId="0E57DA79"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9250/1</w:t>
            </w:r>
          </w:p>
        </w:tc>
      </w:tr>
      <w:tr w:rsidR="00C21F3F" w:rsidRPr="00C21F3F" w14:paraId="0E57DA7D" w14:textId="77777777" w:rsidTr="00E57012">
        <w:trPr>
          <w:trHeight w:val="255"/>
        </w:trPr>
        <w:tc>
          <w:tcPr>
            <w:tcW w:w="3969" w:type="dxa"/>
            <w:vAlign w:val="center"/>
          </w:tcPr>
          <w:p w14:paraId="0E57DA7B" w14:textId="77777777" w:rsidR="00C21F3F" w:rsidRPr="00C21F3F" w:rsidRDefault="00C21F3F" w:rsidP="00C21F3F">
            <w:pPr>
              <w:rPr>
                <w:rFonts w:ascii="Calibri" w:eastAsia="Calibri" w:hAnsi="Calibri" w:cs="Times New Roman"/>
                <w:i/>
                <w:sz w:val="16"/>
                <w:szCs w:val="16"/>
              </w:rPr>
            </w:pPr>
            <w:r w:rsidRPr="00C21F3F">
              <w:rPr>
                <w:rFonts w:ascii="Calibri" w:eastAsia="Calibri" w:hAnsi="Calibri" w:cs="Times New Roman"/>
                <w:i/>
                <w:sz w:val="16"/>
                <w:szCs w:val="16"/>
              </w:rPr>
              <w:t xml:space="preserve">Malignant  </w:t>
            </w:r>
          </w:p>
        </w:tc>
        <w:tc>
          <w:tcPr>
            <w:tcW w:w="1134" w:type="dxa"/>
          </w:tcPr>
          <w:p w14:paraId="0E57DA7C" w14:textId="77777777" w:rsidR="00C21F3F" w:rsidRPr="00C21F3F" w:rsidRDefault="00C21F3F" w:rsidP="00C21F3F">
            <w:pPr>
              <w:rPr>
                <w:rFonts w:ascii="Calibri" w:eastAsia="Calibri" w:hAnsi="Calibri" w:cs="Times New Roman"/>
                <w:i/>
                <w:sz w:val="16"/>
                <w:szCs w:val="16"/>
              </w:rPr>
            </w:pPr>
          </w:p>
        </w:tc>
      </w:tr>
      <w:tr w:rsidR="00C21F3F" w:rsidRPr="00C21F3F" w14:paraId="0E57DA80" w14:textId="77777777" w:rsidTr="00E57012">
        <w:trPr>
          <w:trHeight w:val="255"/>
        </w:trPr>
        <w:tc>
          <w:tcPr>
            <w:tcW w:w="3969" w:type="dxa"/>
            <w:noWrap/>
            <w:vAlign w:val="center"/>
            <w:hideMark/>
          </w:tcPr>
          <w:p w14:paraId="0E57DA7E"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lastRenderedPageBreak/>
              <w:t xml:space="preserve">Giant cell </w:t>
            </w:r>
            <w:proofErr w:type="spellStart"/>
            <w:r w:rsidRPr="00C21F3F">
              <w:rPr>
                <w:rFonts w:ascii="Calibri" w:eastAsia="Calibri" w:hAnsi="Calibri" w:cs="Times New Roman"/>
                <w:sz w:val="16"/>
                <w:szCs w:val="16"/>
              </w:rPr>
              <w:t>tumour</w:t>
            </w:r>
            <w:proofErr w:type="spellEnd"/>
            <w:r w:rsidRPr="00C21F3F">
              <w:rPr>
                <w:rFonts w:ascii="Calibri" w:eastAsia="Calibri" w:hAnsi="Calibri" w:cs="Times New Roman"/>
                <w:sz w:val="16"/>
                <w:szCs w:val="16"/>
              </w:rPr>
              <w:t xml:space="preserve"> of bone, malignant </w:t>
            </w:r>
          </w:p>
        </w:tc>
        <w:tc>
          <w:tcPr>
            <w:tcW w:w="1134" w:type="dxa"/>
          </w:tcPr>
          <w:p w14:paraId="0E57DA7F"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9250/3</w:t>
            </w:r>
          </w:p>
        </w:tc>
      </w:tr>
      <w:tr w:rsidR="00C21F3F" w:rsidRPr="00C21F3F" w14:paraId="0E57DA83" w14:textId="77777777" w:rsidTr="00E57012">
        <w:trPr>
          <w:trHeight w:val="255"/>
        </w:trPr>
        <w:tc>
          <w:tcPr>
            <w:tcW w:w="3969" w:type="dxa"/>
            <w:vAlign w:val="center"/>
          </w:tcPr>
          <w:p w14:paraId="0E57DA81"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b/>
                <w:bCs/>
                <w:sz w:val="16"/>
                <w:szCs w:val="16"/>
              </w:rPr>
              <w:t xml:space="preserve">Notochordal </w:t>
            </w:r>
            <w:proofErr w:type="spellStart"/>
            <w:r w:rsidRPr="00C21F3F">
              <w:rPr>
                <w:rFonts w:ascii="Calibri" w:eastAsia="Calibri" w:hAnsi="Calibri" w:cs="Times New Roman"/>
                <w:b/>
                <w:bCs/>
                <w:sz w:val="16"/>
                <w:szCs w:val="16"/>
              </w:rPr>
              <w:t>tumours</w:t>
            </w:r>
            <w:proofErr w:type="spellEnd"/>
            <w:r w:rsidRPr="00C21F3F">
              <w:rPr>
                <w:rFonts w:ascii="Calibri" w:eastAsia="Calibri" w:hAnsi="Calibri" w:cs="Times New Roman"/>
                <w:b/>
                <w:bCs/>
                <w:sz w:val="16"/>
                <w:szCs w:val="16"/>
              </w:rPr>
              <w:t xml:space="preserve"> </w:t>
            </w:r>
            <w:r w:rsidRPr="00C21F3F">
              <w:rPr>
                <w:rFonts w:ascii="Calibri" w:eastAsia="Calibri" w:hAnsi="Calibri" w:cs="Times New Roman"/>
                <w:sz w:val="16"/>
                <w:szCs w:val="16"/>
              </w:rPr>
              <w:t xml:space="preserve"> </w:t>
            </w:r>
          </w:p>
        </w:tc>
        <w:tc>
          <w:tcPr>
            <w:tcW w:w="1134" w:type="dxa"/>
          </w:tcPr>
          <w:p w14:paraId="0E57DA82" w14:textId="77777777" w:rsidR="00C21F3F" w:rsidRPr="00C21F3F" w:rsidRDefault="00C21F3F" w:rsidP="00C21F3F">
            <w:pPr>
              <w:rPr>
                <w:rFonts w:ascii="Calibri" w:eastAsia="Calibri" w:hAnsi="Calibri" w:cs="Times New Roman"/>
                <w:b/>
                <w:bCs/>
                <w:sz w:val="16"/>
                <w:szCs w:val="16"/>
              </w:rPr>
            </w:pPr>
          </w:p>
        </w:tc>
      </w:tr>
      <w:tr w:rsidR="00C21F3F" w:rsidRPr="00C21F3F" w14:paraId="0E57DA86" w14:textId="77777777" w:rsidTr="00E57012">
        <w:trPr>
          <w:trHeight w:val="255"/>
        </w:trPr>
        <w:tc>
          <w:tcPr>
            <w:tcW w:w="3969" w:type="dxa"/>
            <w:vAlign w:val="center"/>
          </w:tcPr>
          <w:p w14:paraId="0E57DA84" w14:textId="77777777" w:rsidR="00C21F3F" w:rsidRPr="00C21F3F" w:rsidRDefault="00C21F3F" w:rsidP="00C21F3F">
            <w:pPr>
              <w:rPr>
                <w:rFonts w:ascii="Calibri" w:eastAsia="Calibri" w:hAnsi="Calibri" w:cs="Times New Roman"/>
                <w:i/>
                <w:sz w:val="16"/>
                <w:szCs w:val="16"/>
              </w:rPr>
            </w:pPr>
            <w:r w:rsidRPr="00C21F3F">
              <w:rPr>
                <w:rFonts w:ascii="Calibri" w:eastAsia="Calibri" w:hAnsi="Calibri" w:cs="Times New Roman"/>
                <w:i/>
                <w:sz w:val="16"/>
                <w:szCs w:val="16"/>
              </w:rPr>
              <w:t xml:space="preserve">Malignant  </w:t>
            </w:r>
          </w:p>
        </w:tc>
        <w:tc>
          <w:tcPr>
            <w:tcW w:w="1134" w:type="dxa"/>
          </w:tcPr>
          <w:p w14:paraId="0E57DA85" w14:textId="77777777" w:rsidR="00C21F3F" w:rsidRPr="00C21F3F" w:rsidRDefault="00C21F3F" w:rsidP="00C21F3F">
            <w:pPr>
              <w:rPr>
                <w:rFonts w:ascii="Calibri" w:eastAsia="Calibri" w:hAnsi="Calibri" w:cs="Times New Roman"/>
                <w:i/>
                <w:sz w:val="16"/>
                <w:szCs w:val="16"/>
              </w:rPr>
            </w:pPr>
          </w:p>
        </w:tc>
      </w:tr>
      <w:tr w:rsidR="00C21F3F" w:rsidRPr="00C21F3F" w14:paraId="0E57DA89" w14:textId="77777777" w:rsidTr="00E57012">
        <w:trPr>
          <w:trHeight w:val="255"/>
        </w:trPr>
        <w:tc>
          <w:tcPr>
            <w:tcW w:w="3969" w:type="dxa"/>
            <w:noWrap/>
            <w:vAlign w:val="center"/>
            <w:hideMark/>
          </w:tcPr>
          <w:p w14:paraId="0E57DA87"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Conventional chordoma </w:t>
            </w:r>
          </w:p>
        </w:tc>
        <w:tc>
          <w:tcPr>
            <w:tcW w:w="1134" w:type="dxa"/>
          </w:tcPr>
          <w:p w14:paraId="0E57DA88"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9370/3</w:t>
            </w:r>
          </w:p>
        </w:tc>
      </w:tr>
      <w:tr w:rsidR="00C21F3F" w:rsidRPr="00C21F3F" w14:paraId="0E57DA8C" w14:textId="77777777" w:rsidTr="00E57012">
        <w:trPr>
          <w:trHeight w:val="255"/>
        </w:trPr>
        <w:tc>
          <w:tcPr>
            <w:tcW w:w="3969" w:type="dxa"/>
            <w:noWrap/>
            <w:vAlign w:val="center"/>
            <w:hideMark/>
          </w:tcPr>
          <w:p w14:paraId="0E57DA8A" w14:textId="77777777" w:rsidR="00C21F3F" w:rsidRPr="00C21F3F" w:rsidRDefault="00C21F3F" w:rsidP="00C21F3F">
            <w:pPr>
              <w:ind w:firstLine="317"/>
              <w:rPr>
                <w:rFonts w:ascii="Calibri" w:eastAsia="Calibri" w:hAnsi="Calibri" w:cs="Times New Roman"/>
                <w:sz w:val="16"/>
                <w:szCs w:val="16"/>
              </w:rPr>
            </w:pPr>
            <w:r w:rsidRPr="00C21F3F">
              <w:rPr>
                <w:rFonts w:ascii="Calibri" w:eastAsia="Calibri" w:hAnsi="Calibri" w:cs="Times New Roman"/>
                <w:sz w:val="16"/>
                <w:szCs w:val="16"/>
              </w:rPr>
              <w:t xml:space="preserve">Chondroid chordoma </w:t>
            </w:r>
          </w:p>
        </w:tc>
        <w:tc>
          <w:tcPr>
            <w:tcW w:w="1134" w:type="dxa"/>
          </w:tcPr>
          <w:p w14:paraId="0E57DA8B" w14:textId="77777777" w:rsidR="00C21F3F" w:rsidRPr="00C21F3F" w:rsidRDefault="00C21F3F" w:rsidP="00C21F3F">
            <w:pPr>
              <w:ind w:firstLine="317"/>
              <w:rPr>
                <w:rFonts w:ascii="Calibri" w:eastAsia="Calibri" w:hAnsi="Calibri" w:cs="Times New Roman"/>
                <w:sz w:val="16"/>
                <w:szCs w:val="16"/>
              </w:rPr>
            </w:pPr>
          </w:p>
        </w:tc>
      </w:tr>
      <w:tr w:rsidR="00C21F3F" w:rsidRPr="00C21F3F" w14:paraId="0E57DA8F" w14:textId="77777777" w:rsidTr="00E57012">
        <w:trPr>
          <w:trHeight w:val="255"/>
        </w:trPr>
        <w:tc>
          <w:tcPr>
            <w:tcW w:w="3969" w:type="dxa"/>
            <w:noWrap/>
            <w:vAlign w:val="center"/>
            <w:hideMark/>
          </w:tcPr>
          <w:p w14:paraId="0E57DA8D"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Poorly differentiated chordoma </w:t>
            </w:r>
          </w:p>
        </w:tc>
        <w:tc>
          <w:tcPr>
            <w:tcW w:w="1134" w:type="dxa"/>
            <w:vAlign w:val="center"/>
          </w:tcPr>
          <w:p w14:paraId="0E57DA8E"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9370/3 </w:t>
            </w:r>
          </w:p>
        </w:tc>
      </w:tr>
      <w:tr w:rsidR="00C21F3F" w:rsidRPr="00C21F3F" w14:paraId="0E57DA92" w14:textId="77777777" w:rsidTr="00E57012">
        <w:trPr>
          <w:trHeight w:val="255"/>
        </w:trPr>
        <w:tc>
          <w:tcPr>
            <w:tcW w:w="3969" w:type="dxa"/>
            <w:noWrap/>
            <w:vAlign w:val="center"/>
            <w:hideMark/>
          </w:tcPr>
          <w:p w14:paraId="0E57DA90"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Dedifferentiated chordoma </w:t>
            </w:r>
          </w:p>
        </w:tc>
        <w:tc>
          <w:tcPr>
            <w:tcW w:w="1134" w:type="dxa"/>
            <w:vAlign w:val="center"/>
          </w:tcPr>
          <w:p w14:paraId="0E57DA91"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9372/3</w:t>
            </w:r>
          </w:p>
        </w:tc>
      </w:tr>
      <w:tr w:rsidR="00C21F3F" w:rsidRPr="00C21F3F" w14:paraId="0E57DA95" w14:textId="77777777" w:rsidTr="00E57012">
        <w:trPr>
          <w:trHeight w:val="255"/>
        </w:trPr>
        <w:tc>
          <w:tcPr>
            <w:tcW w:w="3969" w:type="dxa"/>
            <w:vAlign w:val="center"/>
          </w:tcPr>
          <w:p w14:paraId="0E57DA93"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b/>
                <w:bCs/>
                <w:sz w:val="16"/>
                <w:szCs w:val="16"/>
              </w:rPr>
              <w:t xml:space="preserve">Other mesenchymal </w:t>
            </w:r>
            <w:proofErr w:type="spellStart"/>
            <w:r w:rsidRPr="00C21F3F">
              <w:rPr>
                <w:rFonts w:ascii="Calibri" w:eastAsia="Calibri" w:hAnsi="Calibri" w:cs="Times New Roman"/>
                <w:b/>
                <w:bCs/>
                <w:sz w:val="16"/>
                <w:szCs w:val="16"/>
              </w:rPr>
              <w:t>tumours</w:t>
            </w:r>
            <w:proofErr w:type="spellEnd"/>
            <w:r w:rsidRPr="00C21F3F">
              <w:rPr>
                <w:rFonts w:ascii="Calibri" w:eastAsia="Calibri" w:hAnsi="Calibri" w:cs="Times New Roman"/>
                <w:b/>
                <w:bCs/>
                <w:sz w:val="16"/>
                <w:szCs w:val="16"/>
              </w:rPr>
              <w:t xml:space="preserve"> of bone </w:t>
            </w:r>
            <w:r w:rsidRPr="00C21F3F">
              <w:rPr>
                <w:rFonts w:ascii="Calibri" w:eastAsia="Calibri" w:hAnsi="Calibri" w:cs="Times New Roman"/>
                <w:sz w:val="16"/>
                <w:szCs w:val="16"/>
              </w:rPr>
              <w:t xml:space="preserve"> </w:t>
            </w:r>
          </w:p>
        </w:tc>
        <w:tc>
          <w:tcPr>
            <w:tcW w:w="1134" w:type="dxa"/>
          </w:tcPr>
          <w:p w14:paraId="0E57DA94" w14:textId="77777777" w:rsidR="00C21F3F" w:rsidRPr="00C21F3F" w:rsidRDefault="00C21F3F" w:rsidP="00C21F3F">
            <w:pPr>
              <w:rPr>
                <w:rFonts w:ascii="Calibri" w:eastAsia="Calibri" w:hAnsi="Calibri" w:cs="Times New Roman"/>
                <w:b/>
                <w:bCs/>
                <w:sz w:val="16"/>
                <w:szCs w:val="16"/>
              </w:rPr>
            </w:pPr>
          </w:p>
        </w:tc>
      </w:tr>
      <w:tr w:rsidR="00C21F3F" w:rsidRPr="00C21F3F" w14:paraId="0E57DA98" w14:textId="77777777" w:rsidTr="00E57012">
        <w:trPr>
          <w:trHeight w:val="255"/>
        </w:trPr>
        <w:tc>
          <w:tcPr>
            <w:tcW w:w="3969" w:type="dxa"/>
            <w:vAlign w:val="center"/>
          </w:tcPr>
          <w:p w14:paraId="0E57DA96"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i/>
                <w:sz w:val="16"/>
                <w:szCs w:val="16"/>
              </w:rPr>
              <w:t xml:space="preserve">Malignant </w:t>
            </w:r>
            <w:r w:rsidRPr="00C21F3F">
              <w:rPr>
                <w:rFonts w:ascii="Calibri" w:eastAsia="Calibri" w:hAnsi="Calibri" w:cs="Times New Roman"/>
                <w:sz w:val="16"/>
                <w:szCs w:val="16"/>
              </w:rPr>
              <w:t xml:space="preserve"> </w:t>
            </w:r>
          </w:p>
        </w:tc>
        <w:tc>
          <w:tcPr>
            <w:tcW w:w="1134" w:type="dxa"/>
          </w:tcPr>
          <w:p w14:paraId="0E57DA97" w14:textId="77777777" w:rsidR="00C21F3F" w:rsidRPr="00C21F3F" w:rsidRDefault="00C21F3F" w:rsidP="00C21F3F">
            <w:pPr>
              <w:rPr>
                <w:rFonts w:ascii="Calibri" w:eastAsia="Calibri" w:hAnsi="Calibri" w:cs="Times New Roman"/>
                <w:i/>
                <w:sz w:val="16"/>
                <w:szCs w:val="16"/>
              </w:rPr>
            </w:pPr>
          </w:p>
        </w:tc>
      </w:tr>
      <w:tr w:rsidR="00C21F3F" w:rsidRPr="00C21F3F" w14:paraId="0E57DA9B" w14:textId="77777777" w:rsidTr="00E57012">
        <w:trPr>
          <w:trHeight w:val="255"/>
        </w:trPr>
        <w:tc>
          <w:tcPr>
            <w:tcW w:w="3969" w:type="dxa"/>
            <w:noWrap/>
            <w:vAlign w:val="center"/>
            <w:hideMark/>
          </w:tcPr>
          <w:p w14:paraId="0E57DA99"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Adamantinoma of long bones </w:t>
            </w:r>
          </w:p>
        </w:tc>
        <w:tc>
          <w:tcPr>
            <w:tcW w:w="1134" w:type="dxa"/>
            <w:vAlign w:val="center"/>
          </w:tcPr>
          <w:p w14:paraId="0E57DA9A"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9261/3 </w:t>
            </w:r>
          </w:p>
        </w:tc>
      </w:tr>
      <w:tr w:rsidR="00C21F3F" w:rsidRPr="00C21F3F" w14:paraId="0E57DA9E" w14:textId="77777777" w:rsidTr="00E57012">
        <w:trPr>
          <w:trHeight w:val="255"/>
        </w:trPr>
        <w:tc>
          <w:tcPr>
            <w:tcW w:w="3969" w:type="dxa"/>
            <w:noWrap/>
            <w:vAlign w:val="center"/>
            <w:hideMark/>
          </w:tcPr>
          <w:p w14:paraId="0E57DA9C" w14:textId="77777777" w:rsidR="00C21F3F" w:rsidRPr="00C21F3F" w:rsidRDefault="00C21F3F" w:rsidP="00C21F3F">
            <w:pPr>
              <w:ind w:firstLine="317"/>
              <w:rPr>
                <w:rFonts w:ascii="Calibri" w:eastAsia="Calibri" w:hAnsi="Calibri" w:cs="Times New Roman"/>
                <w:sz w:val="16"/>
                <w:szCs w:val="16"/>
              </w:rPr>
            </w:pPr>
            <w:r w:rsidRPr="00C21F3F">
              <w:rPr>
                <w:rFonts w:ascii="Calibri" w:eastAsia="Calibri" w:hAnsi="Calibri" w:cs="Times New Roman"/>
                <w:sz w:val="16"/>
                <w:szCs w:val="16"/>
              </w:rPr>
              <w:t xml:space="preserve">Dedifferentiated adamantinoma </w:t>
            </w:r>
          </w:p>
        </w:tc>
        <w:tc>
          <w:tcPr>
            <w:tcW w:w="1134" w:type="dxa"/>
            <w:vAlign w:val="center"/>
          </w:tcPr>
          <w:p w14:paraId="0E57DA9D" w14:textId="77777777" w:rsidR="00C21F3F" w:rsidRPr="00C21F3F" w:rsidRDefault="00C21F3F" w:rsidP="00C21F3F">
            <w:pPr>
              <w:rPr>
                <w:rFonts w:ascii="Calibri" w:eastAsia="Calibri" w:hAnsi="Calibri" w:cs="Times New Roman"/>
                <w:sz w:val="16"/>
                <w:szCs w:val="16"/>
              </w:rPr>
            </w:pPr>
          </w:p>
        </w:tc>
      </w:tr>
      <w:tr w:rsidR="00C21F3F" w:rsidRPr="00C21F3F" w14:paraId="0E57DAA1" w14:textId="77777777" w:rsidTr="00E57012">
        <w:trPr>
          <w:trHeight w:val="255"/>
        </w:trPr>
        <w:tc>
          <w:tcPr>
            <w:tcW w:w="3969" w:type="dxa"/>
            <w:noWrap/>
            <w:vAlign w:val="center"/>
            <w:hideMark/>
          </w:tcPr>
          <w:p w14:paraId="0E57DA9F"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Leiomyosarcoma NOS </w:t>
            </w:r>
          </w:p>
        </w:tc>
        <w:tc>
          <w:tcPr>
            <w:tcW w:w="1134" w:type="dxa"/>
            <w:vAlign w:val="center"/>
          </w:tcPr>
          <w:p w14:paraId="0E57DAA0"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8890/3</w:t>
            </w:r>
          </w:p>
        </w:tc>
      </w:tr>
      <w:tr w:rsidR="00C21F3F" w:rsidRPr="00C21F3F" w14:paraId="0E57DAA4" w14:textId="77777777" w:rsidTr="00E57012">
        <w:trPr>
          <w:trHeight w:val="255"/>
        </w:trPr>
        <w:tc>
          <w:tcPr>
            <w:tcW w:w="3969" w:type="dxa"/>
            <w:noWrap/>
            <w:vAlign w:val="center"/>
            <w:hideMark/>
          </w:tcPr>
          <w:p w14:paraId="0E57DAA2"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Pleomorphic sarcoma, undifferentiated</w:t>
            </w:r>
          </w:p>
        </w:tc>
        <w:tc>
          <w:tcPr>
            <w:tcW w:w="1134" w:type="dxa"/>
            <w:vAlign w:val="center"/>
          </w:tcPr>
          <w:p w14:paraId="0E57DAA3"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8802/3 </w:t>
            </w:r>
          </w:p>
        </w:tc>
      </w:tr>
      <w:tr w:rsidR="00C21F3F" w:rsidRPr="00C21F3F" w14:paraId="0E57DAA7" w14:textId="77777777" w:rsidTr="00E57012">
        <w:trPr>
          <w:trHeight w:val="255"/>
        </w:trPr>
        <w:tc>
          <w:tcPr>
            <w:tcW w:w="3969" w:type="dxa"/>
            <w:vAlign w:val="center"/>
          </w:tcPr>
          <w:p w14:paraId="0E57DAA5" w14:textId="77777777" w:rsidR="00C21F3F" w:rsidRPr="00C21F3F" w:rsidRDefault="00C21F3F" w:rsidP="00C21F3F">
            <w:pPr>
              <w:rPr>
                <w:rFonts w:ascii="Calibri" w:eastAsia="Calibri" w:hAnsi="Calibri" w:cs="Times New Roman"/>
                <w:sz w:val="16"/>
                <w:szCs w:val="16"/>
              </w:rPr>
            </w:pPr>
            <w:proofErr w:type="spellStart"/>
            <w:r w:rsidRPr="00C21F3F">
              <w:rPr>
                <w:rFonts w:ascii="Calibri" w:eastAsia="Calibri" w:hAnsi="Calibri" w:cs="Times New Roman"/>
                <w:b/>
                <w:bCs/>
                <w:sz w:val="16"/>
                <w:szCs w:val="16"/>
              </w:rPr>
              <w:t>Haematopoietic</w:t>
            </w:r>
            <w:proofErr w:type="spellEnd"/>
            <w:r w:rsidRPr="00C21F3F">
              <w:rPr>
                <w:rFonts w:ascii="Calibri" w:eastAsia="Calibri" w:hAnsi="Calibri" w:cs="Times New Roman"/>
                <w:b/>
                <w:bCs/>
                <w:sz w:val="16"/>
                <w:szCs w:val="16"/>
              </w:rPr>
              <w:t xml:space="preserve"> neoplasms of bone </w:t>
            </w:r>
            <w:r w:rsidRPr="00C21F3F">
              <w:rPr>
                <w:rFonts w:ascii="Calibri" w:eastAsia="Calibri" w:hAnsi="Calibri" w:cs="Times New Roman"/>
                <w:sz w:val="16"/>
                <w:szCs w:val="16"/>
              </w:rPr>
              <w:t xml:space="preserve"> </w:t>
            </w:r>
          </w:p>
        </w:tc>
        <w:tc>
          <w:tcPr>
            <w:tcW w:w="1134" w:type="dxa"/>
          </w:tcPr>
          <w:p w14:paraId="0E57DAA6" w14:textId="77777777" w:rsidR="00C21F3F" w:rsidRPr="00C21F3F" w:rsidRDefault="00C21F3F" w:rsidP="00C21F3F">
            <w:pPr>
              <w:rPr>
                <w:rFonts w:ascii="Calibri" w:eastAsia="Calibri" w:hAnsi="Calibri" w:cs="Times New Roman"/>
                <w:b/>
                <w:bCs/>
                <w:sz w:val="16"/>
                <w:szCs w:val="16"/>
              </w:rPr>
            </w:pPr>
          </w:p>
        </w:tc>
      </w:tr>
      <w:tr w:rsidR="00C21F3F" w:rsidRPr="00C21F3F" w14:paraId="0E57DAAA" w14:textId="77777777" w:rsidTr="00E57012">
        <w:trPr>
          <w:trHeight w:val="255"/>
        </w:trPr>
        <w:tc>
          <w:tcPr>
            <w:tcW w:w="3969" w:type="dxa"/>
            <w:noWrap/>
            <w:vAlign w:val="center"/>
            <w:hideMark/>
          </w:tcPr>
          <w:p w14:paraId="0E57DAA8"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Plasmacytoma of bone </w:t>
            </w:r>
          </w:p>
        </w:tc>
        <w:tc>
          <w:tcPr>
            <w:tcW w:w="1134" w:type="dxa"/>
            <w:vAlign w:val="center"/>
          </w:tcPr>
          <w:p w14:paraId="0E57DAA9"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9731/3 </w:t>
            </w:r>
          </w:p>
        </w:tc>
      </w:tr>
      <w:tr w:rsidR="00C21F3F" w:rsidRPr="00C21F3F" w14:paraId="0E57DAAD" w14:textId="77777777" w:rsidTr="00E57012">
        <w:trPr>
          <w:trHeight w:val="255"/>
        </w:trPr>
        <w:tc>
          <w:tcPr>
            <w:tcW w:w="3969" w:type="dxa"/>
            <w:noWrap/>
            <w:vAlign w:val="center"/>
            <w:hideMark/>
          </w:tcPr>
          <w:p w14:paraId="0E57DAAB"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Malignant lymphoma, non-Hodgkin, NOS </w:t>
            </w:r>
          </w:p>
        </w:tc>
        <w:tc>
          <w:tcPr>
            <w:tcW w:w="1134" w:type="dxa"/>
            <w:vAlign w:val="center"/>
          </w:tcPr>
          <w:p w14:paraId="0E57DAAC"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9591/3 </w:t>
            </w:r>
          </w:p>
        </w:tc>
      </w:tr>
      <w:tr w:rsidR="00C21F3F" w:rsidRPr="00C21F3F" w14:paraId="0E57DAB0" w14:textId="77777777" w:rsidTr="00E57012">
        <w:trPr>
          <w:trHeight w:val="255"/>
        </w:trPr>
        <w:tc>
          <w:tcPr>
            <w:tcW w:w="3969" w:type="dxa"/>
            <w:noWrap/>
            <w:vAlign w:val="center"/>
            <w:hideMark/>
          </w:tcPr>
          <w:p w14:paraId="0E57DAAE"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Hodgkin disease NOS </w:t>
            </w:r>
          </w:p>
        </w:tc>
        <w:tc>
          <w:tcPr>
            <w:tcW w:w="1134" w:type="dxa"/>
            <w:vAlign w:val="center"/>
          </w:tcPr>
          <w:p w14:paraId="0E57DAAF"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9650/3 </w:t>
            </w:r>
          </w:p>
        </w:tc>
      </w:tr>
      <w:tr w:rsidR="00C21F3F" w:rsidRPr="00C21F3F" w14:paraId="0E57DAB3" w14:textId="77777777" w:rsidTr="00E57012">
        <w:trPr>
          <w:trHeight w:val="255"/>
        </w:trPr>
        <w:tc>
          <w:tcPr>
            <w:tcW w:w="3969" w:type="dxa"/>
            <w:noWrap/>
            <w:vAlign w:val="center"/>
            <w:hideMark/>
          </w:tcPr>
          <w:p w14:paraId="0E57DAB1"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Diffuse large B-cell lymphoma NOS </w:t>
            </w:r>
          </w:p>
        </w:tc>
        <w:tc>
          <w:tcPr>
            <w:tcW w:w="1134" w:type="dxa"/>
            <w:vAlign w:val="center"/>
          </w:tcPr>
          <w:p w14:paraId="0E57DAB2"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9680/3 </w:t>
            </w:r>
          </w:p>
        </w:tc>
      </w:tr>
      <w:tr w:rsidR="00C21F3F" w:rsidRPr="00C21F3F" w14:paraId="0E57DAB6" w14:textId="77777777" w:rsidTr="00E57012">
        <w:trPr>
          <w:trHeight w:val="255"/>
        </w:trPr>
        <w:tc>
          <w:tcPr>
            <w:tcW w:w="3969" w:type="dxa"/>
            <w:noWrap/>
            <w:vAlign w:val="center"/>
            <w:hideMark/>
          </w:tcPr>
          <w:p w14:paraId="0E57DAB4"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Follicular lymphoma NOS </w:t>
            </w:r>
          </w:p>
        </w:tc>
        <w:tc>
          <w:tcPr>
            <w:tcW w:w="1134" w:type="dxa"/>
            <w:vAlign w:val="center"/>
          </w:tcPr>
          <w:p w14:paraId="0E57DAB5"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9690/3 </w:t>
            </w:r>
          </w:p>
        </w:tc>
      </w:tr>
      <w:tr w:rsidR="00C21F3F" w:rsidRPr="00C21F3F" w14:paraId="0E57DAB9" w14:textId="77777777" w:rsidTr="00E57012">
        <w:trPr>
          <w:trHeight w:val="255"/>
        </w:trPr>
        <w:tc>
          <w:tcPr>
            <w:tcW w:w="3969" w:type="dxa"/>
            <w:noWrap/>
            <w:vAlign w:val="center"/>
            <w:hideMark/>
          </w:tcPr>
          <w:p w14:paraId="0E57DAB7"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Marginal zone B-cell lymphoma NOS </w:t>
            </w:r>
          </w:p>
        </w:tc>
        <w:tc>
          <w:tcPr>
            <w:tcW w:w="1134" w:type="dxa"/>
            <w:vAlign w:val="center"/>
          </w:tcPr>
          <w:p w14:paraId="0E57DAB8"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9699/3 </w:t>
            </w:r>
          </w:p>
        </w:tc>
      </w:tr>
      <w:tr w:rsidR="00C21F3F" w:rsidRPr="00C21F3F" w14:paraId="0E57DABC" w14:textId="77777777" w:rsidTr="00E57012">
        <w:trPr>
          <w:trHeight w:val="255"/>
        </w:trPr>
        <w:tc>
          <w:tcPr>
            <w:tcW w:w="3969" w:type="dxa"/>
            <w:noWrap/>
            <w:vAlign w:val="center"/>
            <w:hideMark/>
          </w:tcPr>
          <w:p w14:paraId="0E57DABA"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T-cell lymphoma NOS </w:t>
            </w:r>
          </w:p>
        </w:tc>
        <w:tc>
          <w:tcPr>
            <w:tcW w:w="1134" w:type="dxa"/>
            <w:vAlign w:val="center"/>
          </w:tcPr>
          <w:p w14:paraId="0E57DABB"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9702/3 </w:t>
            </w:r>
          </w:p>
        </w:tc>
      </w:tr>
      <w:tr w:rsidR="00C21F3F" w:rsidRPr="00C21F3F" w14:paraId="0E57DABF" w14:textId="77777777" w:rsidTr="00E57012">
        <w:trPr>
          <w:trHeight w:val="255"/>
        </w:trPr>
        <w:tc>
          <w:tcPr>
            <w:tcW w:w="3969" w:type="dxa"/>
            <w:noWrap/>
            <w:vAlign w:val="center"/>
            <w:hideMark/>
          </w:tcPr>
          <w:p w14:paraId="0E57DABD"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Anaplastic large cell lymphoma NOS </w:t>
            </w:r>
          </w:p>
        </w:tc>
        <w:tc>
          <w:tcPr>
            <w:tcW w:w="1134" w:type="dxa"/>
            <w:vAlign w:val="center"/>
          </w:tcPr>
          <w:p w14:paraId="0E57DABE"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9714/3 </w:t>
            </w:r>
          </w:p>
        </w:tc>
      </w:tr>
      <w:tr w:rsidR="00C21F3F" w:rsidRPr="00C21F3F" w14:paraId="0E57DAC2" w14:textId="77777777" w:rsidTr="00E57012">
        <w:trPr>
          <w:trHeight w:val="255"/>
        </w:trPr>
        <w:tc>
          <w:tcPr>
            <w:tcW w:w="3969" w:type="dxa"/>
            <w:noWrap/>
            <w:vAlign w:val="center"/>
            <w:hideMark/>
          </w:tcPr>
          <w:p w14:paraId="0E57DAC0"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Malignant lymphoma, lymphoblastic, NOS </w:t>
            </w:r>
          </w:p>
        </w:tc>
        <w:tc>
          <w:tcPr>
            <w:tcW w:w="1134" w:type="dxa"/>
            <w:vAlign w:val="center"/>
          </w:tcPr>
          <w:p w14:paraId="0E57DAC1"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9727/3 </w:t>
            </w:r>
          </w:p>
        </w:tc>
      </w:tr>
      <w:tr w:rsidR="00C21F3F" w:rsidRPr="00C21F3F" w14:paraId="0E57DAC5" w14:textId="77777777" w:rsidTr="00E57012">
        <w:trPr>
          <w:trHeight w:val="255"/>
        </w:trPr>
        <w:tc>
          <w:tcPr>
            <w:tcW w:w="3969" w:type="dxa"/>
            <w:noWrap/>
            <w:vAlign w:val="center"/>
            <w:hideMark/>
          </w:tcPr>
          <w:p w14:paraId="0E57DAC3"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Burkitt lymphoma NOS </w:t>
            </w:r>
          </w:p>
        </w:tc>
        <w:tc>
          <w:tcPr>
            <w:tcW w:w="1134" w:type="dxa"/>
            <w:vAlign w:val="center"/>
          </w:tcPr>
          <w:p w14:paraId="0E57DAC4"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9687/3 </w:t>
            </w:r>
          </w:p>
        </w:tc>
      </w:tr>
      <w:tr w:rsidR="00C21F3F" w:rsidRPr="00C21F3F" w14:paraId="0E57DAC8" w14:textId="77777777" w:rsidTr="00E57012">
        <w:trPr>
          <w:trHeight w:val="255"/>
        </w:trPr>
        <w:tc>
          <w:tcPr>
            <w:tcW w:w="3969" w:type="dxa"/>
            <w:noWrap/>
            <w:vAlign w:val="center"/>
            <w:hideMark/>
          </w:tcPr>
          <w:p w14:paraId="0E57DAC6"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Langerhans cell histiocytosis NOS </w:t>
            </w:r>
          </w:p>
        </w:tc>
        <w:tc>
          <w:tcPr>
            <w:tcW w:w="1134" w:type="dxa"/>
            <w:vAlign w:val="center"/>
          </w:tcPr>
          <w:p w14:paraId="0E57DAC7"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9751/1 </w:t>
            </w:r>
          </w:p>
        </w:tc>
      </w:tr>
      <w:tr w:rsidR="00C21F3F" w:rsidRPr="00C21F3F" w14:paraId="0E57DACB" w14:textId="77777777" w:rsidTr="00E57012">
        <w:trPr>
          <w:trHeight w:val="255"/>
        </w:trPr>
        <w:tc>
          <w:tcPr>
            <w:tcW w:w="3969" w:type="dxa"/>
            <w:noWrap/>
            <w:vAlign w:val="center"/>
            <w:hideMark/>
          </w:tcPr>
          <w:p w14:paraId="0E57DAC9"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Langerhans cell histiocytosis, disseminated </w:t>
            </w:r>
          </w:p>
        </w:tc>
        <w:tc>
          <w:tcPr>
            <w:tcW w:w="1134" w:type="dxa"/>
            <w:vAlign w:val="center"/>
          </w:tcPr>
          <w:p w14:paraId="0E57DACA"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9751/3 </w:t>
            </w:r>
          </w:p>
        </w:tc>
      </w:tr>
      <w:tr w:rsidR="00C21F3F" w:rsidRPr="00C21F3F" w14:paraId="0E57DACE" w14:textId="77777777" w:rsidTr="00E57012">
        <w:trPr>
          <w:trHeight w:val="255"/>
        </w:trPr>
        <w:tc>
          <w:tcPr>
            <w:tcW w:w="3969" w:type="dxa"/>
            <w:noWrap/>
            <w:vAlign w:val="center"/>
            <w:hideMark/>
          </w:tcPr>
          <w:p w14:paraId="0E57DACC" w14:textId="77777777" w:rsidR="00C21F3F" w:rsidRPr="00C21F3F" w:rsidRDefault="00C21F3F" w:rsidP="00C21F3F">
            <w:pPr>
              <w:rPr>
                <w:rFonts w:ascii="Calibri" w:eastAsia="Calibri" w:hAnsi="Calibri" w:cs="Times New Roman"/>
                <w:sz w:val="16"/>
                <w:szCs w:val="16"/>
              </w:rPr>
            </w:pPr>
            <w:proofErr w:type="spellStart"/>
            <w:r w:rsidRPr="00C21F3F">
              <w:rPr>
                <w:rFonts w:ascii="Calibri" w:eastAsia="Calibri" w:hAnsi="Calibri" w:cs="Times New Roman"/>
                <w:sz w:val="16"/>
                <w:szCs w:val="16"/>
              </w:rPr>
              <w:t>Erdheim</w:t>
            </w:r>
            <w:proofErr w:type="spellEnd"/>
            <w:r w:rsidRPr="00C21F3F">
              <w:rPr>
                <w:rFonts w:ascii="Calibri" w:eastAsia="Calibri" w:hAnsi="Calibri" w:cs="Times New Roman"/>
                <w:sz w:val="16"/>
                <w:szCs w:val="16"/>
              </w:rPr>
              <w:t>–Chester disease</w:t>
            </w:r>
          </w:p>
        </w:tc>
        <w:tc>
          <w:tcPr>
            <w:tcW w:w="1134" w:type="dxa"/>
            <w:vAlign w:val="center"/>
          </w:tcPr>
          <w:p w14:paraId="0E57DACD"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9749/3</w:t>
            </w:r>
          </w:p>
        </w:tc>
      </w:tr>
      <w:tr w:rsidR="00C21F3F" w:rsidRPr="00C21F3F" w14:paraId="0E57DAD1" w14:textId="77777777" w:rsidTr="00E57012">
        <w:trPr>
          <w:trHeight w:val="255"/>
        </w:trPr>
        <w:tc>
          <w:tcPr>
            <w:tcW w:w="3969" w:type="dxa"/>
            <w:noWrap/>
            <w:vAlign w:val="center"/>
            <w:hideMark/>
          </w:tcPr>
          <w:p w14:paraId="0E57DACF" w14:textId="77777777" w:rsidR="00C21F3F" w:rsidRPr="00C21F3F" w:rsidRDefault="00C21F3F" w:rsidP="00C21F3F">
            <w:pPr>
              <w:rPr>
                <w:rFonts w:ascii="Calibri" w:eastAsia="Calibri" w:hAnsi="Calibri" w:cs="Times New Roman"/>
                <w:sz w:val="16"/>
                <w:szCs w:val="16"/>
              </w:rPr>
            </w:pPr>
            <w:proofErr w:type="spellStart"/>
            <w:r w:rsidRPr="00C21F3F">
              <w:rPr>
                <w:rFonts w:ascii="Calibri" w:eastAsia="Calibri" w:hAnsi="Calibri" w:cs="Times New Roman"/>
                <w:sz w:val="16"/>
                <w:szCs w:val="16"/>
              </w:rPr>
              <w:t>Rosai</w:t>
            </w:r>
            <w:proofErr w:type="spellEnd"/>
            <w:r w:rsidRPr="00C21F3F">
              <w:rPr>
                <w:rFonts w:ascii="Calibri" w:eastAsia="Calibri" w:hAnsi="Calibri" w:cs="Times New Roman"/>
                <w:sz w:val="16"/>
                <w:szCs w:val="16"/>
              </w:rPr>
              <w:t xml:space="preserve">–Dorfman disease </w:t>
            </w:r>
          </w:p>
        </w:tc>
        <w:tc>
          <w:tcPr>
            <w:tcW w:w="1134" w:type="dxa"/>
          </w:tcPr>
          <w:p w14:paraId="0E57DAD0" w14:textId="77777777" w:rsidR="00C21F3F" w:rsidRPr="00C21F3F" w:rsidRDefault="00C21F3F" w:rsidP="00C21F3F">
            <w:pPr>
              <w:rPr>
                <w:rFonts w:ascii="Calibri" w:eastAsia="Calibri" w:hAnsi="Calibri" w:cs="Times New Roman"/>
                <w:sz w:val="16"/>
                <w:szCs w:val="16"/>
              </w:rPr>
            </w:pPr>
          </w:p>
        </w:tc>
      </w:tr>
      <w:tr w:rsidR="00C21F3F" w:rsidRPr="00C21F3F" w14:paraId="0E57DAD4" w14:textId="77777777" w:rsidTr="00E57012">
        <w:trPr>
          <w:trHeight w:val="255"/>
        </w:trPr>
        <w:tc>
          <w:tcPr>
            <w:tcW w:w="3969" w:type="dxa"/>
            <w:vAlign w:val="center"/>
          </w:tcPr>
          <w:p w14:paraId="0E57DAD2" w14:textId="77777777" w:rsidR="00C21F3F" w:rsidRPr="00C21F3F" w:rsidRDefault="00C21F3F" w:rsidP="00C21F3F">
            <w:pPr>
              <w:rPr>
                <w:rFonts w:ascii="Calibri" w:eastAsia="Calibri" w:hAnsi="Calibri" w:cs="Times New Roman"/>
                <w:b/>
                <w:sz w:val="16"/>
                <w:szCs w:val="16"/>
              </w:rPr>
            </w:pPr>
            <w:r w:rsidRPr="00C21F3F">
              <w:rPr>
                <w:rFonts w:ascii="Calibri" w:eastAsia="Calibri" w:hAnsi="Calibri" w:cs="Times New Roman"/>
                <w:b/>
                <w:sz w:val="16"/>
                <w:szCs w:val="16"/>
              </w:rPr>
              <w:t>Undifferentiated small round cell</w:t>
            </w:r>
          </w:p>
        </w:tc>
        <w:tc>
          <w:tcPr>
            <w:tcW w:w="1134" w:type="dxa"/>
          </w:tcPr>
          <w:p w14:paraId="0E57DAD3" w14:textId="77777777" w:rsidR="00C21F3F" w:rsidRPr="00C21F3F" w:rsidRDefault="00C21F3F" w:rsidP="00C21F3F">
            <w:pPr>
              <w:rPr>
                <w:rFonts w:ascii="Calibri" w:eastAsia="Calibri" w:hAnsi="Calibri" w:cs="Times New Roman"/>
                <w:b/>
                <w:bCs/>
                <w:sz w:val="16"/>
                <w:szCs w:val="16"/>
              </w:rPr>
            </w:pPr>
          </w:p>
        </w:tc>
      </w:tr>
      <w:tr w:rsidR="00C21F3F" w:rsidRPr="00C21F3F" w14:paraId="0E57DAD7" w14:textId="77777777" w:rsidTr="00E57012">
        <w:trPr>
          <w:trHeight w:val="255"/>
        </w:trPr>
        <w:tc>
          <w:tcPr>
            <w:tcW w:w="3969" w:type="dxa"/>
            <w:noWrap/>
            <w:vAlign w:val="center"/>
            <w:hideMark/>
          </w:tcPr>
          <w:p w14:paraId="0E57DAD5"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Ewing sarcoma </w:t>
            </w:r>
          </w:p>
        </w:tc>
        <w:tc>
          <w:tcPr>
            <w:tcW w:w="1134" w:type="dxa"/>
            <w:vAlign w:val="center"/>
          </w:tcPr>
          <w:p w14:paraId="0E57DAD6"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9364/3</w:t>
            </w:r>
          </w:p>
        </w:tc>
      </w:tr>
      <w:tr w:rsidR="00C21F3F" w:rsidRPr="00C21F3F" w14:paraId="0E57DADA" w14:textId="77777777" w:rsidTr="00E57012">
        <w:trPr>
          <w:trHeight w:val="255"/>
        </w:trPr>
        <w:tc>
          <w:tcPr>
            <w:tcW w:w="3969" w:type="dxa"/>
            <w:noWrap/>
            <w:vAlign w:val="center"/>
            <w:hideMark/>
          </w:tcPr>
          <w:p w14:paraId="0E57DAD8"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Round cell sarcoma with </w:t>
            </w:r>
            <w:r w:rsidRPr="00C21F3F">
              <w:rPr>
                <w:rFonts w:ascii="Calibri" w:eastAsia="Calibri" w:hAnsi="Calibri" w:cs="Times New Roman"/>
                <w:i/>
                <w:sz w:val="16"/>
                <w:szCs w:val="16"/>
              </w:rPr>
              <w:t>EWSR1</w:t>
            </w:r>
            <w:r w:rsidRPr="00C21F3F">
              <w:rPr>
                <w:rFonts w:ascii="Calibri" w:eastAsia="Calibri" w:hAnsi="Calibri" w:cs="Times New Roman"/>
                <w:sz w:val="16"/>
                <w:szCs w:val="16"/>
              </w:rPr>
              <w:t xml:space="preserve">–non-ETS fusions </w:t>
            </w:r>
          </w:p>
        </w:tc>
        <w:tc>
          <w:tcPr>
            <w:tcW w:w="1134" w:type="dxa"/>
            <w:vAlign w:val="center"/>
          </w:tcPr>
          <w:p w14:paraId="0E57DAD9"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9366/3* </w:t>
            </w:r>
          </w:p>
        </w:tc>
      </w:tr>
      <w:tr w:rsidR="00C21F3F" w:rsidRPr="00C21F3F" w14:paraId="0E57DADD" w14:textId="77777777" w:rsidTr="00E57012">
        <w:trPr>
          <w:trHeight w:val="255"/>
        </w:trPr>
        <w:tc>
          <w:tcPr>
            <w:tcW w:w="3969" w:type="dxa"/>
            <w:noWrap/>
            <w:vAlign w:val="center"/>
            <w:hideMark/>
          </w:tcPr>
          <w:p w14:paraId="0E57DADB"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i/>
                <w:sz w:val="16"/>
                <w:szCs w:val="16"/>
              </w:rPr>
              <w:t>CIC</w:t>
            </w:r>
            <w:r w:rsidRPr="00C21F3F">
              <w:rPr>
                <w:rFonts w:ascii="Calibri" w:eastAsia="Calibri" w:hAnsi="Calibri" w:cs="Times New Roman"/>
                <w:sz w:val="16"/>
                <w:szCs w:val="16"/>
              </w:rPr>
              <w:t xml:space="preserve">-rearranged sarcoma </w:t>
            </w:r>
          </w:p>
        </w:tc>
        <w:tc>
          <w:tcPr>
            <w:tcW w:w="1134" w:type="dxa"/>
            <w:vAlign w:val="center"/>
          </w:tcPr>
          <w:p w14:paraId="0E57DADC"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9367/3* </w:t>
            </w:r>
          </w:p>
        </w:tc>
      </w:tr>
      <w:tr w:rsidR="00C21F3F" w:rsidRPr="00C21F3F" w14:paraId="0E57DAE0" w14:textId="77777777" w:rsidTr="00E57012">
        <w:trPr>
          <w:trHeight w:val="255"/>
        </w:trPr>
        <w:tc>
          <w:tcPr>
            <w:tcW w:w="3969" w:type="dxa"/>
            <w:noWrap/>
            <w:vAlign w:val="center"/>
            <w:hideMark/>
          </w:tcPr>
          <w:p w14:paraId="0E57DADE"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Sarcoma with </w:t>
            </w:r>
            <w:r w:rsidRPr="00C21F3F">
              <w:rPr>
                <w:rFonts w:ascii="Calibri" w:eastAsia="Calibri" w:hAnsi="Calibri" w:cs="Times New Roman"/>
                <w:i/>
                <w:sz w:val="16"/>
                <w:szCs w:val="16"/>
              </w:rPr>
              <w:t>BCOR</w:t>
            </w:r>
            <w:r w:rsidRPr="00C21F3F">
              <w:rPr>
                <w:rFonts w:ascii="Calibri" w:eastAsia="Calibri" w:hAnsi="Calibri" w:cs="Times New Roman"/>
                <w:sz w:val="16"/>
                <w:szCs w:val="16"/>
              </w:rPr>
              <w:t xml:space="preserve"> genetic alterations </w:t>
            </w:r>
          </w:p>
        </w:tc>
        <w:tc>
          <w:tcPr>
            <w:tcW w:w="1134" w:type="dxa"/>
            <w:vAlign w:val="center"/>
          </w:tcPr>
          <w:p w14:paraId="0E57DADF" w14:textId="77777777" w:rsidR="00C21F3F" w:rsidRPr="00C21F3F" w:rsidRDefault="00C21F3F" w:rsidP="00C21F3F">
            <w:pPr>
              <w:rPr>
                <w:rFonts w:ascii="Calibri" w:eastAsia="Calibri" w:hAnsi="Calibri" w:cs="Times New Roman"/>
                <w:sz w:val="16"/>
                <w:szCs w:val="16"/>
              </w:rPr>
            </w:pPr>
            <w:r w:rsidRPr="00C21F3F">
              <w:rPr>
                <w:rFonts w:ascii="Calibri" w:eastAsia="Calibri" w:hAnsi="Calibri" w:cs="Times New Roman"/>
                <w:sz w:val="16"/>
                <w:szCs w:val="16"/>
              </w:rPr>
              <w:t xml:space="preserve">9368/3* </w:t>
            </w:r>
          </w:p>
        </w:tc>
      </w:tr>
    </w:tbl>
    <w:p w14:paraId="0E57DAE1" w14:textId="77777777" w:rsidR="00C21F3F" w:rsidRPr="00C21F3F" w:rsidRDefault="00C21F3F" w:rsidP="00C21F3F">
      <w:pPr>
        <w:spacing w:before="120" w:after="0" w:line="240" w:lineRule="auto"/>
        <w:rPr>
          <w:rFonts w:ascii="Calibri" w:eastAsia="Calibri" w:hAnsi="Calibri" w:cs="HelveticaLT-Light"/>
          <w:sz w:val="16"/>
          <w:szCs w:val="16"/>
        </w:rPr>
      </w:pPr>
      <w:proofErr w:type="spellStart"/>
      <w:r w:rsidRPr="00C21F3F">
        <w:rPr>
          <w:rFonts w:ascii="Calibri" w:eastAsia="Calibri" w:hAnsi="Calibri" w:cs="HelveticaLT-Light"/>
          <w:sz w:val="16"/>
          <w:szCs w:val="16"/>
          <w:vertAlign w:val="superscript"/>
        </w:rPr>
        <w:t>a</w:t>
      </w:r>
      <w:proofErr w:type="spellEnd"/>
      <w:r w:rsidRPr="00C21F3F">
        <w:rPr>
          <w:rFonts w:ascii="Calibri" w:eastAsia="Calibri" w:hAnsi="Calibri" w:cs="HelveticaLT-Light"/>
          <w:sz w:val="16"/>
          <w:szCs w:val="16"/>
        </w:rPr>
        <w:t xml:space="preserve"> These morphology codes are from the International Classification of Diseases for Oncology, third edition, second revision (ICD-O-3.2).</w:t>
      </w:r>
      <w:r w:rsidRPr="00C21F3F">
        <w:rPr>
          <w:rFonts w:ascii="Calibri" w:eastAsia="Calibri" w:hAnsi="Calibri" w:cs="HelveticaLT-Light"/>
          <w:sz w:val="16"/>
          <w:szCs w:val="16"/>
          <w:lang w:eastAsia="en-AU"/>
        </w:rPr>
        <w:fldChar w:fldCharType="begin">
          <w:fldData xml:space="preserve">PEVuZE5vdGU+PENpdGU+PEF1dGhvcj5Gcml0ejwvQXV0aG9yPjxZZWFyPjIwMDA8L1llYXI+PFJl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</w:fldData>
        </w:fldChar>
      </w:r>
      <w:r w:rsidRPr="00C21F3F">
        <w:rPr>
          <w:rFonts w:ascii="Calibri" w:eastAsia="Calibri" w:hAnsi="Calibri" w:cs="HelveticaLT-Light"/>
          <w:sz w:val="16"/>
          <w:szCs w:val="16"/>
          <w:lang w:eastAsia="en-AU"/>
        </w:rPr>
        <w:instrText xml:space="preserve"> ADDIN EN.CITE </w:instrText>
      </w:r>
      <w:r w:rsidRPr="00C21F3F">
        <w:rPr>
          <w:rFonts w:ascii="Calibri" w:eastAsia="Calibri" w:hAnsi="Calibri" w:cs="HelveticaLT-Light"/>
          <w:sz w:val="16"/>
          <w:szCs w:val="16"/>
          <w:lang w:eastAsia="en-AU"/>
        </w:rPr>
        <w:fldChar w:fldCharType="begin">
          <w:fldData xml:space="preserve">PEVuZE5vdGU+PENpdGU+PEF1dGhvcj5Gcml0ejwvQXV0aG9yPjxZZWFyPjIwMDA8L1llYXI+PFJl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</w:fldData>
        </w:fldChar>
      </w:r>
      <w:r w:rsidRPr="00C21F3F">
        <w:rPr>
          <w:rFonts w:ascii="Calibri" w:eastAsia="Calibri" w:hAnsi="Calibri" w:cs="HelveticaLT-Light"/>
          <w:sz w:val="16"/>
          <w:szCs w:val="16"/>
          <w:lang w:eastAsia="en-AU"/>
        </w:rPr>
        <w:instrText xml:space="preserve"> ADDIN EN.CITE.DATA </w:instrText>
      </w:r>
      <w:r w:rsidRPr="00C21F3F">
        <w:rPr>
          <w:rFonts w:ascii="Calibri" w:eastAsia="Calibri" w:hAnsi="Calibri" w:cs="HelveticaLT-Light"/>
          <w:sz w:val="16"/>
          <w:szCs w:val="16"/>
          <w:lang w:eastAsia="en-AU"/>
        </w:rPr>
      </w:r>
      <w:r w:rsidRPr="00C21F3F">
        <w:rPr>
          <w:rFonts w:ascii="Calibri" w:eastAsia="Calibri" w:hAnsi="Calibri" w:cs="HelveticaLT-Light"/>
          <w:sz w:val="16"/>
          <w:szCs w:val="16"/>
          <w:lang w:eastAsia="en-AU"/>
        </w:rPr>
        <w:fldChar w:fldCharType="end"/>
      </w:r>
      <w:r w:rsidRPr="00C21F3F">
        <w:rPr>
          <w:rFonts w:ascii="Calibri" w:eastAsia="Calibri" w:hAnsi="Calibri" w:cs="HelveticaLT-Light"/>
          <w:sz w:val="16"/>
          <w:szCs w:val="16"/>
          <w:lang w:eastAsia="en-AU"/>
        </w:rPr>
      </w:r>
      <w:r w:rsidRPr="00C21F3F">
        <w:rPr>
          <w:rFonts w:ascii="Calibri" w:eastAsia="Calibri" w:hAnsi="Calibri" w:cs="HelveticaLT-Light"/>
          <w:sz w:val="16"/>
          <w:szCs w:val="16"/>
          <w:lang w:eastAsia="en-AU"/>
        </w:rPr>
        <w:fldChar w:fldCharType="separate"/>
      </w:r>
      <w:r w:rsidRPr="00C21F3F">
        <w:rPr>
          <w:rFonts w:ascii="Calibri" w:eastAsia="Calibri" w:hAnsi="Calibri" w:cs="HelveticaLT-Light"/>
          <w:noProof/>
          <w:sz w:val="16"/>
          <w:szCs w:val="16"/>
          <w:vertAlign w:val="superscript"/>
          <w:lang w:eastAsia="en-AU"/>
        </w:rPr>
        <w:t>2</w:t>
      </w:r>
      <w:r w:rsidRPr="00C21F3F">
        <w:rPr>
          <w:rFonts w:ascii="Calibri" w:eastAsia="Calibri" w:hAnsi="Calibri" w:cs="HelveticaLT-Light"/>
          <w:sz w:val="16"/>
          <w:szCs w:val="16"/>
          <w:lang w:eastAsia="en-AU"/>
        </w:rPr>
        <w:fldChar w:fldCharType="end"/>
      </w:r>
      <w:r w:rsidRPr="00C21F3F">
        <w:rPr>
          <w:rFonts w:ascii="Calibri" w:eastAsia="Calibri" w:hAnsi="Calibri" w:cs="HelveticaLT-Light"/>
          <w:sz w:val="16"/>
          <w:szCs w:val="16"/>
        </w:rPr>
        <w:t xml:space="preserve"> Behaviour is coded /0 for benign tumours; /1 for unspecified, borderline, or uncertain behaviour; /2 for carcinoma in situ and grade III intraepithelial neoplasia; /3 for malignant tumours, primary site; and /6 for malignant tumours, metastatic site.</w:t>
      </w:r>
    </w:p>
    <w:p w14:paraId="0E57DAE2" w14:textId="77777777" w:rsidR="00C21F3F" w:rsidRPr="00C21F3F" w:rsidRDefault="00C21F3F" w:rsidP="00C21F3F">
      <w:pPr>
        <w:spacing w:after="0" w:line="240" w:lineRule="auto"/>
        <w:rPr>
          <w:rFonts w:ascii="Calibri" w:eastAsia="Calibri" w:hAnsi="Calibri" w:cs="HelveticaLT-Light"/>
          <w:sz w:val="16"/>
          <w:szCs w:val="16"/>
          <w:lang w:eastAsia="en-AU"/>
        </w:rPr>
      </w:pPr>
      <w:r w:rsidRPr="00C21F3F">
        <w:rPr>
          <w:rFonts w:ascii="Calibri" w:eastAsia="Calibri" w:hAnsi="Calibri" w:cs="Times New Roman"/>
          <w:sz w:val="16"/>
          <w:szCs w:val="16"/>
        </w:rPr>
        <w:lastRenderedPageBreak/>
        <w:t>* Codes marked with an asterisk were approved by the International Agency for Research on Cancer/WHO Committee for ICD-O at its meeting in January 2020.</w:t>
      </w:r>
      <w:r w:rsidRPr="00C21F3F">
        <w:rPr>
          <w:rFonts w:ascii="Calibri" w:eastAsia="Calibri" w:hAnsi="Calibri" w:cs="HelveticaLT-Light"/>
          <w:sz w:val="16"/>
          <w:szCs w:val="16"/>
          <w:lang w:eastAsia="en-AU"/>
        </w:rPr>
        <w:t xml:space="preserve"> Incorporates all relevant changes from the 5</w:t>
      </w:r>
      <w:r w:rsidRPr="00C21F3F">
        <w:rPr>
          <w:rFonts w:ascii="Calibri" w:eastAsia="Calibri" w:hAnsi="Calibri" w:cs="HelveticaLT-Light"/>
          <w:sz w:val="16"/>
          <w:szCs w:val="16"/>
          <w:vertAlign w:val="superscript"/>
          <w:lang w:eastAsia="en-AU"/>
        </w:rPr>
        <w:t>th</w:t>
      </w:r>
      <w:r w:rsidRPr="00C21F3F">
        <w:rPr>
          <w:rFonts w:ascii="Calibri" w:eastAsia="Calibri" w:hAnsi="Calibri" w:cs="HelveticaLT-Light"/>
          <w:sz w:val="16"/>
          <w:szCs w:val="16"/>
          <w:lang w:eastAsia="en-AU"/>
        </w:rPr>
        <w:t xml:space="preserve"> Edition Corrigenda October 2020.</w:t>
      </w:r>
    </w:p>
    <w:p w14:paraId="0E57DAE3" w14:textId="77777777" w:rsidR="00C21F3F" w:rsidRDefault="00C21F3F" w:rsidP="00C21F3F">
      <w:pPr>
        <w:spacing w:before="120" w:after="0" w:line="240" w:lineRule="auto"/>
        <w:rPr>
          <w:rFonts w:ascii="Calibri" w:eastAsia="Calibri" w:hAnsi="Calibri" w:cs="Times New Roman"/>
          <w:sz w:val="16"/>
          <w:szCs w:val="16"/>
        </w:rPr>
      </w:pPr>
      <w:r w:rsidRPr="00C21F3F">
        <w:rPr>
          <w:rFonts w:ascii="Calibri" w:eastAsia="Calibri" w:hAnsi="Calibri" w:cs="Times New Roman"/>
          <w:sz w:val="16"/>
          <w:szCs w:val="16"/>
        </w:rPr>
        <w:t>© World Health Organization/International Agency for Research on Cancer. Reproduced with permission.</w:t>
      </w:r>
    </w:p>
    <w:p w14:paraId="0E57DAE4" w14:textId="77777777" w:rsidR="00C21F3F" w:rsidRPr="00C21F3F" w:rsidRDefault="00C21F3F" w:rsidP="00C21F3F">
      <w:pPr>
        <w:spacing w:after="0" w:line="240" w:lineRule="auto"/>
        <w:rPr>
          <w:rFonts w:ascii="Calibri" w:eastAsia="Calibri" w:hAnsi="Calibri" w:cs="Times New Roman"/>
          <w:sz w:val="16"/>
          <w:szCs w:val="16"/>
        </w:rPr>
      </w:pPr>
    </w:p>
    <w:p w14:paraId="0E57DAE5" w14:textId="77777777" w:rsidR="00C21F3F" w:rsidRPr="00C21F3F" w:rsidRDefault="00C21F3F" w:rsidP="00C21F3F">
      <w:pPr>
        <w:spacing w:after="0"/>
        <w:rPr>
          <w:rFonts w:ascii="Calibri" w:eastAsia="Calibri" w:hAnsi="Calibri" w:cs="Times New Roman"/>
          <w:b/>
          <w:sz w:val="16"/>
          <w:szCs w:val="16"/>
        </w:rPr>
      </w:pPr>
      <w:r w:rsidRPr="00C21F3F">
        <w:rPr>
          <w:rFonts w:ascii="Calibri" w:eastAsia="Calibri" w:hAnsi="Calibri" w:cs="Times New Roman"/>
          <w:b/>
          <w:sz w:val="16"/>
          <w:szCs w:val="16"/>
        </w:rPr>
        <w:t xml:space="preserve">References </w:t>
      </w:r>
    </w:p>
    <w:p w14:paraId="0E57DAE6" w14:textId="77777777" w:rsidR="00C21F3F" w:rsidRPr="00C21F3F" w:rsidRDefault="00C21F3F" w:rsidP="001B2D37">
      <w:pPr>
        <w:spacing w:after="0" w:line="240" w:lineRule="auto"/>
        <w:ind w:left="284" w:hanging="284"/>
        <w:rPr>
          <w:rFonts w:ascii="Calibri" w:eastAsia="Calibri" w:hAnsi="Calibri" w:cs="Times New Roman"/>
          <w:noProof/>
          <w:sz w:val="16"/>
          <w:szCs w:val="16"/>
          <w:lang w:val="en-US"/>
        </w:rPr>
      </w:pPr>
      <w:r w:rsidRPr="00C21F3F">
        <w:rPr>
          <w:rFonts w:ascii="Calibri" w:eastAsia="Calibri" w:hAnsi="Calibri" w:cs="Times New Roman"/>
          <w:noProof/>
          <w:sz w:val="16"/>
          <w:szCs w:val="16"/>
          <w:lang w:val="en-US"/>
        </w:rPr>
        <w:fldChar w:fldCharType="begin"/>
      </w:r>
      <w:r w:rsidRPr="00C21F3F">
        <w:rPr>
          <w:rFonts w:ascii="Calibri" w:eastAsia="Calibri" w:hAnsi="Calibri" w:cs="Times New Roman"/>
          <w:noProof/>
          <w:sz w:val="16"/>
          <w:szCs w:val="16"/>
          <w:lang w:val="en-US"/>
        </w:rPr>
        <w:instrText xml:space="preserve"> ADDIN EN.REFLIST </w:instrText>
      </w:r>
      <w:r w:rsidRPr="00C21F3F">
        <w:rPr>
          <w:rFonts w:ascii="Calibri" w:eastAsia="Calibri" w:hAnsi="Calibri" w:cs="Times New Roman"/>
          <w:noProof/>
          <w:sz w:val="16"/>
          <w:szCs w:val="16"/>
          <w:lang w:val="en-US"/>
        </w:rPr>
        <w:fldChar w:fldCharType="separate"/>
      </w:r>
      <w:r w:rsidRPr="00C21F3F">
        <w:rPr>
          <w:rFonts w:ascii="Calibri" w:eastAsia="Calibri" w:hAnsi="Calibri" w:cs="Times New Roman"/>
          <w:noProof/>
          <w:sz w:val="16"/>
          <w:szCs w:val="16"/>
          <w:lang w:val="en-US"/>
        </w:rPr>
        <w:t>1</w:t>
      </w:r>
      <w:r w:rsidRPr="00C21F3F">
        <w:rPr>
          <w:rFonts w:ascii="Calibri" w:eastAsia="Calibri" w:hAnsi="Calibri" w:cs="Times New Roman"/>
          <w:noProof/>
          <w:sz w:val="16"/>
          <w:szCs w:val="16"/>
          <w:lang w:val="en-US"/>
        </w:rPr>
        <w:tab/>
      </w:r>
      <w:r w:rsidRPr="00C21F3F">
        <w:rPr>
          <w:rFonts w:ascii="Calibri" w:eastAsia="Calibri" w:hAnsi="Calibri" w:cs="Segoe UI"/>
          <w:noProof/>
          <w:sz w:val="16"/>
          <w:szCs w:val="16"/>
          <w:lang w:val="en-US" w:eastAsia="en-AU"/>
        </w:rPr>
        <w:t>WHO Classification of Tumours Editorial Board</w:t>
      </w:r>
      <w:r w:rsidRPr="00C21F3F">
        <w:rPr>
          <w:rFonts w:ascii="Calibri" w:eastAsia="Calibri" w:hAnsi="Calibri" w:cs="Times New Roman"/>
          <w:noProof/>
          <w:sz w:val="16"/>
          <w:szCs w:val="16"/>
          <w:lang w:val="en-US"/>
        </w:rPr>
        <w:t xml:space="preserve"> (2020). </w:t>
      </w:r>
      <w:r w:rsidRPr="00C21F3F">
        <w:rPr>
          <w:rFonts w:ascii="Calibri" w:eastAsia="Calibri" w:hAnsi="Calibri" w:cs="Times New Roman"/>
          <w:i/>
          <w:noProof/>
          <w:sz w:val="16"/>
          <w:szCs w:val="16"/>
          <w:lang w:val="en-US"/>
        </w:rPr>
        <w:t>Soft Tissue and Bone Tumours. WHO Classification of Tumours, 5th Edition, Volume 3</w:t>
      </w:r>
      <w:r w:rsidRPr="00C21F3F">
        <w:rPr>
          <w:rFonts w:ascii="Calibri" w:eastAsia="Calibri" w:hAnsi="Calibri" w:cs="Times New Roman"/>
          <w:noProof/>
          <w:sz w:val="16"/>
          <w:szCs w:val="16"/>
          <w:lang w:val="en-US"/>
        </w:rPr>
        <w:t>. IARC Publications, Lyon.</w:t>
      </w:r>
    </w:p>
    <w:p w14:paraId="0E57DAE7" w14:textId="77777777" w:rsidR="00C21F3F" w:rsidRPr="00C21F3F" w:rsidRDefault="00C21F3F" w:rsidP="001B2D37">
      <w:pPr>
        <w:spacing w:after="0" w:line="240" w:lineRule="auto"/>
        <w:ind w:left="284" w:hanging="284"/>
        <w:rPr>
          <w:rFonts w:ascii="Calibri" w:eastAsia="Calibri" w:hAnsi="Calibri" w:cs="Times New Roman"/>
          <w:noProof/>
          <w:sz w:val="16"/>
          <w:szCs w:val="16"/>
          <w:lang w:val="en-US"/>
        </w:rPr>
      </w:pPr>
      <w:r w:rsidRPr="00C21F3F">
        <w:rPr>
          <w:rFonts w:ascii="Calibri" w:eastAsia="Calibri" w:hAnsi="Calibri" w:cs="Times New Roman"/>
          <w:noProof/>
          <w:sz w:val="16"/>
          <w:szCs w:val="16"/>
          <w:lang w:val="en-US"/>
        </w:rPr>
        <w:t>2</w:t>
      </w:r>
      <w:r w:rsidRPr="00C21F3F">
        <w:rPr>
          <w:rFonts w:ascii="Calibri" w:eastAsia="Calibri" w:hAnsi="Calibri" w:cs="Times New Roman"/>
          <w:noProof/>
          <w:sz w:val="16"/>
          <w:szCs w:val="16"/>
          <w:lang w:val="en-US"/>
        </w:rPr>
        <w:tab/>
        <w:t xml:space="preserve">Fritz A, Percy C, Jack A, Shanmugaratnam K, Sobin LH, Parkin DM, Whelan SL and World Health Organization (2000). </w:t>
      </w:r>
      <w:r w:rsidRPr="00C21F3F">
        <w:rPr>
          <w:rFonts w:ascii="Calibri" w:eastAsia="Calibri" w:hAnsi="Calibri" w:cs="Times New Roman"/>
          <w:i/>
          <w:noProof/>
          <w:sz w:val="16"/>
          <w:szCs w:val="16"/>
          <w:lang w:val="en-US"/>
        </w:rPr>
        <w:t>International classification of diseases for oncology</w:t>
      </w:r>
      <w:r w:rsidRPr="00C21F3F">
        <w:rPr>
          <w:rFonts w:ascii="Calibri" w:eastAsia="Calibri" w:hAnsi="Calibri" w:cs="Times New Roman"/>
          <w:noProof/>
          <w:sz w:val="16"/>
          <w:szCs w:val="16"/>
          <w:lang w:val="en-US"/>
        </w:rPr>
        <w:t>, World Health Organization, Geneva.</w:t>
      </w:r>
    </w:p>
    <w:p w14:paraId="0E57DAE8" w14:textId="77777777" w:rsidR="00C21F3F" w:rsidRPr="00C21F3F" w:rsidRDefault="00C21F3F" w:rsidP="00C21F3F">
      <w:pPr>
        <w:spacing w:after="0" w:line="240" w:lineRule="auto"/>
        <w:rPr>
          <w:rFonts w:ascii="Calibri" w:eastAsia="Calibri" w:hAnsi="Calibri" w:cs="Times New Roman"/>
          <w:noProof/>
          <w:sz w:val="16"/>
          <w:szCs w:val="16"/>
          <w:lang w:val="en-US"/>
        </w:rPr>
      </w:pPr>
    </w:p>
    <w:p w14:paraId="0E57DAE9" w14:textId="77777777" w:rsidR="00F80160" w:rsidRPr="00F80160" w:rsidRDefault="00C21F3F" w:rsidP="00C21F3F">
      <w:pPr>
        <w:autoSpaceDE w:val="0"/>
        <w:autoSpaceDN w:val="0"/>
        <w:adjustRightInd w:val="0"/>
        <w:spacing w:after="0" w:line="240" w:lineRule="auto"/>
        <w:rPr>
          <w:rFonts w:ascii="Calibri" w:eastAsia="Calibri" w:hAnsi="Calibri" w:cs="Times New Roman"/>
          <w:b/>
        </w:rPr>
      </w:pPr>
      <w:r w:rsidRPr="00C21F3F">
        <w:rPr>
          <w:rFonts w:ascii="Calibri" w:eastAsia="Calibri" w:hAnsi="Calibri" w:cs="Times New Roman"/>
          <w:sz w:val="16"/>
          <w:szCs w:val="16"/>
        </w:rPr>
        <w:fldChar w:fldCharType="end"/>
      </w:r>
    </w:p>
    <w:p w14:paraId="0E57DAEA" w14:textId="77777777" w:rsidR="0086719D" w:rsidRPr="003C23FC" w:rsidRDefault="0086719D" w:rsidP="00BF1F78">
      <w:pPr>
        <w:ind w:left="426" w:hanging="426"/>
        <w:rPr>
          <w:rFonts w:ascii="Calibri" w:hAnsi="Calibri"/>
          <w:b/>
          <w:sz w:val="16"/>
          <w:szCs w:val="16"/>
          <w:u w:val="single"/>
        </w:rPr>
      </w:pPr>
    </w:p>
    <w:sectPr w:rsidR="0086719D" w:rsidRPr="003C23FC" w:rsidSect="00E57012">
      <w:footerReference w:type="default" r:id="rId8"/>
      <w:pgSz w:w="16838" w:h="11906" w:orient="landscape"/>
      <w:pgMar w:top="851" w:right="678" w:bottom="1276"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7DAED" w14:textId="77777777" w:rsidR="00F86C2C" w:rsidRDefault="00F86C2C" w:rsidP="008F654B">
      <w:pPr>
        <w:spacing w:after="0" w:line="240" w:lineRule="auto"/>
      </w:pPr>
      <w:r>
        <w:separator/>
      </w:r>
    </w:p>
  </w:endnote>
  <w:endnote w:type="continuationSeparator" w:id="0">
    <w:p w14:paraId="0E57DAEE" w14:textId="77777777" w:rsidR="00F86C2C" w:rsidRDefault="00F86C2C" w:rsidP="008F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T-Ligh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DAEF" w14:textId="77777777" w:rsidR="003A6BBE" w:rsidRPr="00AC0018" w:rsidRDefault="003A6BBE" w:rsidP="00A33934">
    <w:pPr>
      <w:pStyle w:val="Footer"/>
      <w:rPr>
        <w:sz w:val="20"/>
        <w:szCs w:val="20"/>
      </w:rPr>
    </w:pPr>
    <w:r w:rsidRPr="00AC0018">
      <w:rPr>
        <w:bCs/>
        <w:sz w:val="20"/>
        <w:szCs w:val="20"/>
      </w:rPr>
      <w:t>ISBN: 978 1 922324 14 6 – published April 2021</w:t>
    </w:r>
    <w:r w:rsidRPr="00AC0018">
      <w:rPr>
        <w:b/>
        <w:bCs/>
        <w:i/>
        <w:sz w:val="20"/>
        <w:szCs w:val="20"/>
      </w:rPr>
      <w:t xml:space="preserve">                                    </w:t>
    </w:r>
    <w:r w:rsidRPr="00AC0018">
      <w:rPr>
        <w:i/>
        <w:sz w:val="20"/>
        <w:szCs w:val="20"/>
      </w:rPr>
      <w:t xml:space="preserve">© 2021 International Collaboration on Cancer Reporting Limited (ICCR).                                                         </w:t>
    </w:r>
    <w:r w:rsidRPr="00AC0018">
      <w:rPr>
        <w:sz w:val="20"/>
        <w:szCs w:val="20"/>
      </w:rPr>
      <w:t xml:space="preserve">Page </w:t>
    </w:r>
    <w:r w:rsidRPr="00AC0018">
      <w:rPr>
        <w:bCs/>
        <w:sz w:val="20"/>
        <w:szCs w:val="20"/>
      </w:rPr>
      <w:fldChar w:fldCharType="begin"/>
    </w:r>
    <w:r w:rsidRPr="00AC0018">
      <w:rPr>
        <w:bCs/>
        <w:sz w:val="20"/>
        <w:szCs w:val="20"/>
      </w:rPr>
      <w:instrText xml:space="preserve"> PAGE </w:instrText>
    </w:r>
    <w:r w:rsidRPr="00AC0018">
      <w:rPr>
        <w:bCs/>
        <w:sz w:val="20"/>
        <w:szCs w:val="20"/>
      </w:rPr>
      <w:fldChar w:fldCharType="separate"/>
    </w:r>
    <w:r w:rsidR="000936EF">
      <w:rPr>
        <w:bCs/>
        <w:noProof/>
        <w:sz w:val="20"/>
        <w:szCs w:val="20"/>
      </w:rPr>
      <w:t>8</w:t>
    </w:r>
    <w:r w:rsidRPr="00AC0018">
      <w:rPr>
        <w:sz w:val="20"/>
        <w:szCs w:val="20"/>
      </w:rPr>
      <w:fldChar w:fldCharType="end"/>
    </w:r>
    <w:r w:rsidRPr="00AC0018">
      <w:rPr>
        <w:sz w:val="20"/>
        <w:szCs w:val="20"/>
      </w:rPr>
      <w:t xml:space="preserve"> of </w:t>
    </w:r>
    <w:r w:rsidRPr="00AC0018">
      <w:rPr>
        <w:bCs/>
        <w:sz w:val="20"/>
        <w:szCs w:val="20"/>
      </w:rPr>
      <w:fldChar w:fldCharType="begin"/>
    </w:r>
    <w:r w:rsidRPr="00AC0018">
      <w:rPr>
        <w:bCs/>
        <w:sz w:val="20"/>
        <w:szCs w:val="20"/>
      </w:rPr>
      <w:instrText xml:space="preserve"> NUMPAGES  </w:instrText>
    </w:r>
    <w:r w:rsidRPr="00AC0018">
      <w:rPr>
        <w:bCs/>
        <w:sz w:val="20"/>
        <w:szCs w:val="20"/>
      </w:rPr>
      <w:fldChar w:fldCharType="separate"/>
    </w:r>
    <w:r w:rsidR="000936EF">
      <w:rPr>
        <w:bCs/>
        <w:noProof/>
        <w:sz w:val="20"/>
        <w:szCs w:val="20"/>
      </w:rPr>
      <w:t>8</w:t>
    </w:r>
    <w:r w:rsidRPr="00AC001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7DAEB" w14:textId="77777777" w:rsidR="00F86C2C" w:rsidRDefault="00F86C2C" w:rsidP="008F654B">
      <w:pPr>
        <w:spacing w:after="0" w:line="240" w:lineRule="auto"/>
      </w:pPr>
      <w:r>
        <w:separator/>
      </w:r>
    </w:p>
  </w:footnote>
  <w:footnote w:type="continuationSeparator" w:id="0">
    <w:p w14:paraId="0E57DAEC" w14:textId="77777777" w:rsidR="00F86C2C" w:rsidRDefault="00F86C2C" w:rsidP="008F6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9754E"/>
    <w:multiLevelType w:val="hybridMultilevel"/>
    <w:tmpl w:val="0F94F344"/>
    <w:styleLink w:val="Lettered"/>
    <w:lvl w:ilvl="0" w:tplc="351615B0">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0E4635C">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5ABE92C2">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034C264">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240454C">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D786842">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0AEFF62">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D9121BD8">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1647904">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ED51888"/>
    <w:multiLevelType w:val="hybridMultilevel"/>
    <w:tmpl w:val="3D5A2F5A"/>
    <w:lvl w:ilvl="0" w:tplc="ECBA3AEC">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BE6E3A"/>
    <w:multiLevelType w:val="hybridMultilevel"/>
    <w:tmpl w:val="A5682982"/>
    <w:lvl w:ilvl="0" w:tplc="AB765C14">
      <w:start w:val="1"/>
      <w:numFmt w:val="bullet"/>
      <w:lvlText w:val="o"/>
      <w:lvlJc w:val="left"/>
      <w:pPr>
        <w:ind w:left="754" w:hanging="360"/>
      </w:pPr>
      <w:rPr>
        <w:rFonts w:asciiTheme="minorHAnsi" w:hAnsiTheme="minorHAnsi" w:cs="Courier New" w:hint="default"/>
        <w:color w:val="808080" w:themeColor="background1" w:themeShade="80"/>
        <w:sz w:val="16"/>
        <w:szCs w:val="16"/>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 w15:restartNumberingAfterBreak="0">
    <w:nsid w:val="3CE434E0"/>
    <w:multiLevelType w:val="hybridMultilevel"/>
    <w:tmpl w:val="7A906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F4451F"/>
    <w:multiLevelType w:val="hybridMultilevel"/>
    <w:tmpl w:val="E9A02D6C"/>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 w15:restartNumberingAfterBreak="0">
    <w:nsid w:val="4CBE69EC"/>
    <w:multiLevelType w:val="hybridMultilevel"/>
    <w:tmpl w:val="4964FA98"/>
    <w:lvl w:ilvl="0" w:tplc="56961036">
      <w:start w:val="1"/>
      <w:numFmt w:val="bullet"/>
      <w:lvlText w:val="□"/>
      <w:lvlJc w:val="left"/>
      <w:pPr>
        <w:ind w:left="720" w:hanging="360"/>
      </w:pPr>
      <w:rPr>
        <w:rFonts w:asciiTheme="minorHAnsi" w:hAnsiTheme="minorHAnsi" w:hint="default"/>
        <w:color w:val="808080" w:themeColor="background1" w:themeShade="8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64281D"/>
    <w:multiLevelType w:val="hybridMultilevel"/>
    <w:tmpl w:val="35E87F5A"/>
    <w:lvl w:ilvl="0" w:tplc="4FD615C4">
      <w:start w:val="1"/>
      <w:numFmt w:val="bullet"/>
      <w:lvlText w:val="o"/>
      <w:lvlJc w:val="left"/>
      <w:pPr>
        <w:ind w:left="720" w:hanging="360"/>
      </w:pPr>
      <w:rPr>
        <w:rFonts w:asciiTheme="minorHAnsi" w:hAnsiTheme="minorHAnsi"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9D608B"/>
    <w:multiLevelType w:val="hybridMultilevel"/>
    <w:tmpl w:val="3F421280"/>
    <w:lvl w:ilvl="0" w:tplc="1C2C3632">
      <w:start w:val="1"/>
      <w:numFmt w:val="bullet"/>
      <w:lvlText w:val="□"/>
      <w:lvlJc w:val="left"/>
      <w:pPr>
        <w:ind w:left="720" w:hanging="360"/>
      </w:pPr>
      <w:rPr>
        <w:rFonts w:asciiTheme="minorHAnsi" w:hAnsiTheme="minorHAnsi"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1846B0"/>
    <w:multiLevelType w:val="hybridMultilevel"/>
    <w:tmpl w:val="0A7CB55C"/>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9" w15:restartNumberingAfterBreak="0">
    <w:nsid w:val="576A4C5A"/>
    <w:multiLevelType w:val="hybridMultilevel"/>
    <w:tmpl w:val="96525AE8"/>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0" w15:restartNumberingAfterBreak="0">
    <w:nsid w:val="5A6B1618"/>
    <w:multiLevelType w:val="hybridMultilevel"/>
    <w:tmpl w:val="7BCA70C6"/>
    <w:lvl w:ilvl="0" w:tplc="4FD615C4">
      <w:start w:val="1"/>
      <w:numFmt w:val="bullet"/>
      <w:lvlText w:val="o"/>
      <w:lvlJc w:val="left"/>
      <w:pPr>
        <w:ind w:left="720" w:hanging="360"/>
      </w:pPr>
      <w:rPr>
        <w:rFonts w:asciiTheme="minorHAnsi" w:hAnsiTheme="minorHAnsi"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BF1F9F"/>
    <w:multiLevelType w:val="hybridMultilevel"/>
    <w:tmpl w:val="3FC265F4"/>
    <w:lvl w:ilvl="0" w:tplc="9EC21F96">
      <w:start w:val="1"/>
      <w:numFmt w:val="bullet"/>
      <w:lvlText w:val="□"/>
      <w:lvlJc w:val="left"/>
      <w:pPr>
        <w:ind w:left="720" w:hanging="360"/>
      </w:pPr>
      <w:rPr>
        <w:rFonts w:asciiTheme="minorHAnsi" w:hAnsiTheme="minorHAnsi"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134D56"/>
    <w:multiLevelType w:val="hybridMultilevel"/>
    <w:tmpl w:val="2B665E1E"/>
    <w:lvl w:ilvl="0" w:tplc="376C7820">
      <w:start w:val="1"/>
      <w:numFmt w:val="bullet"/>
      <w:lvlText w:val="o"/>
      <w:lvlJc w:val="left"/>
      <w:pPr>
        <w:ind w:left="754" w:hanging="360"/>
      </w:pPr>
      <w:rPr>
        <w:rFonts w:asciiTheme="minorHAnsi" w:hAnsiTheme="minorHAnsi" w:cs="Courier New" w:hint="default"/>
        <w:color w:val="A6A6A6" w:themeColor="background1" w:themeShade="A6"/>
        <w:sz w:val="16"/>
        <w:szCs w:val="16"/>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3" w15:restartNumberingAfterBreak="0">
    <w:nsid w:val="6F211306"/>
    <w:multiLevelType w:val="hybridMultilevel"/>
    <w:tmpl w:val="3176D332"/>
    <w:lvl w:ilvl="0" w:tplc="DDA0EE00">
      <w:start w:val="1"/>
      <w:numFmt w:val="bullet"/>
      <w:lvlText w:val="□"/>
      <w:lvlJc w:val="left"/>
      <w:pPr>
        <w:ind w:left="720" w:hanging="360"/>
      </w:pPr>
      <w:rPr>
        <w:rFonts w:asciiTheme="minorHAnsi" w:hAnsiTheme="minorHAnsi" w:hint="default"/>
        <w:color w:val="808080" w:themeColor="background1" w:themeShade="8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2"/>
  </w:num>
  <w:num w:numId="4">
    <w:abstractNumId w:val="1"/>
  </w:num>
  <w:num w:numId="5">
    <w:abstractNumId w:val="10"/>
  </w:num>
  <w:num w:numId="6">
    <w:abstractNumId w:val="6"/>
  </w:num>
  <w:num w:numId="7">
    <w:abstractNumId w:val="13"/>
  </w:num>
  <w:num w:numId="8">
    <w:abstractNumId w:val="7"/>
  </w:num>
  <w:num w:numId="9">
    <w:abstractNumId w:val="4"/>
  </w:num>
  <w:num w:numId="10">
    <w:abstractNumId w:val="8"/>
  </w:num>
  <w:num w:numId="11">
    <w:abstractNumId w:val="9"/>
  </w:num>
  <w:num w:numId="12">
    <w:abstractNumId w:val="3"/>
  </w:num>
  <w:num w:numId="13">
    <w:abstractNumId w:val="2"/>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D98"/>
    <w:rsid w:val="000026C0"/>
    <w:rsid w:val="00005B25"/>
    <w:rsid w:val="00010BE8"/>
    <w:rsid w:val="000111E7"/>
    <w:rsid w:val="000135A4"/>
    <w:rsid w:val="0001454C"/>
    <w:rsid w:val="000146DA"/>
    <w:rsid w:val="00021177"/>
    <w:rsid w:val="000232C0"/>
    <w:rsid w:val="000249F1"/>
    <w:rsid w:val="00025463"/>
    <w:rsid w:val="000264A2"/>
    <w:rsid w:val="00026CFE"/>
    <w:rsid w:val="00027A53"/>
    <w:rsid w:val="00027E5D"/>
    <w:rsid w:val="00030538"/>
    <w:rsid w:val="00031130"/>
    <w:rsid w:val="00031D45"/>
    <w:rsid w:val="000337CB"/>
    <w:rsid w:val="000349F7"/>
    <w:rsid w:val="00041BCD"/>
    <w:rsid w:val="00041E50"/>
    <w:rsid w:val="0004291C"/>
    <w:rsid w:val="000473C6"/>
    <w:rsid w:val="00051012"/>
    <w:rsid w:val="00052DC3"/>
    <w:rsid w:val="0006001F"/>
    <w:rsid w:val="0006280F"/>
    <w:rsid w:val="00063C97"/>
    <w:rsid w:val="00066B67"/>
    <w:rsid w:val="0007011F"/>
    <w:rsid w:val="000711E1"/>
    <w:rsid w:val="000729EC"/>
    <w:rsid w:val="00072B4C"/>
    <w:rsid w:val="00074497"/>
    <w:rsid w:val="00076F85"/>
    <w:rsid w:val="000770EE"/>
    <w:rsid w:val="00077581"/>
    <w:rsid w:val="00080748"/>
    <w:rsid w:val="00082B7F"/>
    <w:rsid w:val="000836C0"/>
    <w:rsid w:val="00085A8D"/>
    <w:rsid w:val="00086DA9"/>
    <w:rsid w:val="0009140E"/>
    <w:rsid w:val="00091D27"/>
    <w:rsid w:val="000926C6"/>
    <w:rsid w:val="00093288"/>
    <w:rsid w:val="000936E1"/>
    <w:rsid w:val="000936EF"/>
    <w:rsid w:val="00093BDC"/>
    <w:rsid w:val="000951BC"/>
    <w:rsid w:val="00095C8A"/>
    <w:rsid w:val="000A0D7E"/>
    <w:rsid w:val="000A22C6"/>
    <w:rsid w:val="000A6322"/>
    <w:rsid w:val="000A70C0"/>
    <w:rsid w:val="000A7AE6"/>
    <w:rsid w:val="000B01AA"/>
    <w:rsid w:val="000B414D"/>
    <w:rsid w:val="000B70C1"/>
    <w:rsid w:val="000C22A1"/>
    <w:rsid w:val="000C27B1"/>
    <w:rsid w:val="000D1FCE"/>
    <w:rsid w:val="000D4C8A"/>
    <w:rsid w:val="000D6631"/>
    <w:rsid w:val="000E0FA7"/>
    <w:rsid w:val="000E1A99"/>
    <w:rsid w:val="000E1F6C"/>
    <w:rsid w:val="000E4818"/>
    <w:rsid w:val="000E5989"/>
    <w:rsid w:val="000F0AD2"/>
    <w:rsid w:val="000F19E2"/>
    <w:rsid w:val="000F32A2"/>
    <w:rsid w:val="000F3748"/>
    <w:rsid w:val="000F5151"/>
    <w:rsid w:val="000F7678"/>
    <w:rsid w:val="00104925"/>
    <w:rsid w:val="001058FF"/>
    <w:rsid w:val="00106A56"/>
    <w:rsid w:val="00106E05"/>
    <w:rsid w:val="00107DB7"/>
    <w:rsid w:val="00107E15"/>
    <w:rsid w:val="00110A58"/>
    <w:rsid w:val="00111BEF"/>
    <w:rsid w:val="0011314F"/>
    <w:rsid w:val="00115867"/>
    <w:rsid w:val="0011697B"/>
    <w:rsid w:val="001172FB"/>
    <w:rsid w:val="00117595"/>
    <w:rsid w:val="00122152"/>
    <w:rsid w:val="00122C66"/>
    <w:rsid w:val="00124521"/>
    <w:rsid w:val="001265F1"/>
    <w:rsid w:val="00126F66"/>
    <w:rsid w:val="0013082A"/>
    <w:rsid w:val="00132783"/>
    <w:rsid w:val="001342D0"/>
    <w:rsid w:val="00134BFC"/>
    <w:rsid w:val="001359D5"/>
    <w:rsid w:val="00137F74"/>
    <w:rsid w:val="001407C7"/>
    <w:rsid w:val="00140AC0"/>
    <w:rsid w:val="00141BA6"/>
    <w:rsid w:val="00141F06"/>
    <w:rsid w:val="001431B0"/>
    <w:rsid w:val="001433AE"/>
    <w:rsid w:val="00144110"/>
    <w:rsid w:val="00144D19"/>
    <w:rsid w:val="00151B2E"/>
    <w:rsid w:val="00153491"/>
    <w:rsid w:val="00154DD4"/>
    <w:rsid w:val="00156272"/>
    <w:rsid w:val="00156503"/>
    <w:rsid w:val="0015684D"/>
    <w:rsid w:val="00156B86"/>
    <w:rsid w:val="00160820"/>
    <w:rsid w:val="001628EF"/>
    <w:rsid w:val="0016688D"/>
    <w:rsid w:val="00166DBB"/>
    <w:rsid w:val="0016712F"/>
    <w:rsid w:val="0017095B"/>
    <w:rsid w:val="00172891"/>
    <w:rsid w:val="001749E2"/>
    <w:rsid w:val="00175F1E"/>
    <w:rsid w:val="00176EA0"/>
    <w:rsid w:val="00177840"/>
    <w:rsid w:val="00180437"/>
    <w:rsid w:val="00180A62"/>
    <w:rsid w:val="00180B32"/>
    <w:rsid w:val="00181659"/>
    <w:rsid w:val="0018179D"/>
    <w:rsid w:val="00181A22"/>
    <w:rsid w:val="00184056"/>
    <w:rsid w:val="00184E98"/>
    <w:rsid w:val="00190BFF"/>
    <w:rsid w:val="001929A9"/>
    <w:rsid w:val="001931D0"/>
    <w:rsid w:val="00194122"/>
    <w:rsid w:val="0019592D"/>
    <w:rsid w:val="00197A10"/>
    <w:rsid w:val="001A0074"/>
    <w:rsid w:val="001A04F5"/>
    <w:rsid w:val="001A06CD"/>
    <w:rsid w:val="001A0A25"/>
    <w:rsid w:val="001A4800"/>
    <w:rsid w:val="001A68B2"/>
    <w:rsid w:val="001A6EC4"/>
    <w:rsid w:val="001A6F58"/>
    <w:rsid w:val="001A711A"/>
    <w:rsid w:val="001A7146"/>
    <w:rsid w:val="001B19DF"/>
    <w:rsid w:val="001B2668"/>
    <w:rsid w:val="001B2C57"/>
    <w:rsid w:val="001B2D37"/>
    <w:rsid w:val="001B34CB"/>
    <w:rsid w:val="001B34CC"/>
    <w:rsid w:val="001B35F6"/>
    <w:rsid w:val="001B3D9C"/>
    <w:rsid w:val="001B495B"/>
    <w:rsid w:val="001B5F75"/>
    <w:rsid w:val="001B624B"/>
    <w:rsid w:val="001B73EF"/>
    <w:rsid w:val="001C3F53"/>
    <w:rsid w:val="001C407E"/>
    <w:rsid w:val="001D11AA"/>
    <w:rsid w:val="001D26E3"/>
    <w:rsid w:val="001D2AC5"/>
    <w:rsid w:val="001D4150"/>
    <w:rsid w:val="001D4D67"/>
    <w:rsid w:val="001D51A8"/>
    <w:rsid w:val="001D6D48"/>
    <w:rsid w:val="001E0E4F"/>
    <w:rsid w:val="001E1505"/>
    <w:rsid w:val="001E1EA1"/>
    <w:rsid w:val="001E49A7"/>
    <w:rsid w:val="001E4F7D"/>
    <w:rsid w:val="001E5DCD"/>
    <w:rsid w:val="001E5FEE"/>
    <w:rsid w:val="001F111A"/>
    <w:rsid w:val="001F18B8"/>
    <w:rsid w:val="001F1A48"/>
    <w:rsid w:val="001F53A5"/>
    <w:rsid w:val="001F5B66"/>
    <w:rsid w:val="001F5D2B"/>
    <w:rsid w:val="001F6D4A"/>
    <w:rsid w:val="00201FB1"/>
    <w:rsid w:val="00201FF3"/>
    <w:rsid w:val="0020288F"/>
    <w:rsid w:val="00204E9C"/>
    <w:rsid w:val="002058D9"/>
    <w:rsid w:val="00213453"/>
    <w:rsid w:val="00214993"/>
    <w:rsid w:val="00217F3B"/>
    <w:rsid w:val="00222DBB"/>
    <w:rsid w:val="00222E7D"/>
    <w:rsid w:val="002233B6"/>
    <w:rsid w:val="002234AC"/>
    <w:rsid w:val="00224363"/>
    <w:rsid w:val="00227BCE"/>
    <w:rsid w:val="0023096A"/>
    <w:rsid w:val="00234379"/>
    <w:rsid w:val="00234563"/>
    <w:rsid w:val="0023517C"/>
    <w:rsid w:val="00236231"/>
    <w:rsid w:val="002366B6"/>
    <w:rsid w:val="00236B7F"/>
    <w:rsid w:val="00237897"/>
    <w:rsid w:val="002409BF"/>
    <w:rsid w:val="00240DE0"/>
    <w:rsid w:val="0024228B"/>
    <w:rsid w:val="00242A9B"/>
    <w:rsid w:val="002458F2"/>
    <w:rsid w:val="002471BF"/>
    <w:rsid w:val="002500DC"/>
    <w:rsid w:val="0025069A"/>
    <w:rsid w:val="00250897"/>
    <w:rsid w:val="002526E7"/>
    <w:rsid w:val="00252990"/>
    <w:rsid w:val="00253159"/>
    <w:rsid w:val="00253F3A"/>
    <w:rsid w:val="002540E1"/>
    <w:rsid w:val="00256946"/>
    <w:rsid w:val="00256B9C"/>
    <w:rsid w:val="00266353"/>
    <w:rsid w:val="00267071"/>
    <w:rsid w:val="00273145"/>
    <w:rsid w:val="00273A59"/>
    <w:rsid w:val="00275295"/>
    <w:rsid w:val="0027597F"/>
    <w:rsid w:val="00275A27"/>
    <w:rsid w:val="00277A05"/>
    <w:rsid w:val="00280BBF"/>
    <w:rsid w:val="00283652"/>
    <w:rsid w:val="00285747"/>
    <w:rsid w:val="00285959"/>
    <w:rsid w:val="00291211"/>
    <w:rsid w:val="00295BDC"/>
    <w:rsid w:val="00295CC1"/>
    <w:rsid w:val="00296A80"/>
    <w:rsid w:val="00296FBB"/>
    <w:rsid w:val="002A140E"/>
    <w:rsid w:val="002A3DEC"/>
    <w:rsid w:val="002A3F2A"/>
    <w:rsid w:val="002A4BFD"/>
    <w:rsid w:val="002A5A16"/>
    <w:rsid w:val="002A671F"/>
    <w:rsid w:val="002A6805"/>
    <w:rsid w:val="002A7F1E"/>
    <w:rsid w:val="002B0E3B"/>
    <w:rsid w:val="002B101F"/>
    <w:rsid w:val="002B18EF"/>
    <w:rsid w:val="002B2B96"/>
    <w:rsid w:val="002B2C7F"/>
    <w:rsid w:val="002B50C3"/>
    <w:rsid w:val="002B6084"/>
    <w:rsid w:val="002C1EB5"/>
    <w:rsid w:val="002C52D5"/>
    <w:rsid w:val="002C73D9"/>
    <w:rsid w:val="002D0772"/>
    <w:rsid w:val="002D40EC"/>
    <w:rsid w:val="002D51A6"/>
    <w:rsid w:val="002D5B6C"/>
    <w:rsid w:val="002D67B4"/>
    <w:rsid w:val="002D6D38"/>
    <w:rsid w:val="002E050A"/>
    <w:rsid w:val="002E2A88"/>
    <w:rsid w:val="002E3793"/>
    <w:rsid w:val="002E4FC4"/>
    <w:rsid w:val="002E5B66"/>
    <w:rsid w:val="002E68F2"/>
    <w:rsid w:val="002E72FA"/>
    <w:rsid w:val="002F08C2"/>
    <w:rsid w:val="002F2228"/>
    <w:rsid w:val="002F58B0"/>
    <w:rsid w:val="002F69D4"/>
    <w:rsid w:val="002F6ABB"/>
    <w:rsid w:val="002F6B74"/>
    <w:rsid w:val="00300AC0"/>
    <w:rsid w:val="003016C3"/>
    <w:rsid w:val="00303FE2"/>
    <w:rsid w:val="003049D6"/>
    <w:rsid w:val="00304F63"/>
    <w:rsid w:val="00305A37"/>
    <w:rsid w:val="003064EB"/>
    <w:rsid w:val="00307C72"/>
    <w:rsid w:val="00307EDE"/>
    <w:rsid w:val="00311EC3"/>
    <w:rsid w:val="003160DD"/>
    <w:rsid w:val="00321100"/>
    <w:rsid w:val="0032168D"/>
    <w:rsid w:val="00321EDC"/>
    <w:rsid w:val="00323847"/>
    <w:rsid w:val="00323B57"/>
    <w:rsid w:val="003258B8"/>
    <w:rsid w:val="00326914"/>
    <w:rsid w:val="00327785"/>
    <w:rsid w:val="00330B72"/>
    <w:rsid w:val="0033292E"/>
    <w:rsid w:val="00333B2C"/>
    <w:rsid w:val="003340CD"/>
    <w:rsid w:val="0033413A"/>
    <w:rsid w:val="00335DC7"/>
    <w:rsid w:val="00336189"/>
    <w:rsid w:val="0033651E"/>
    <w:rsid w:val="00336665"/>
    <w:rsid w:val="00337310"/>
    <w:rsid w:val="00343D75"/>
    <w:rsid w:val="00345213"/>
    <w:rsid w:val="00346A62"/>
    <w:rsid w:val="0035431E"/>
    <w:rsid w:val="0035668D"/>
    <w:rsid w:val="00357631"/>
    <w:rsid w:val="00363AD6"/>
    <w:rsid w:val="00363EC3"/>
    <w:rsid w:val="00367582"/>
    <w:rsid w:val="0036780A"/>
    <w:rsid w:val="003702B8"/>
    <w:rsid w:val="003702DD"/>
    <w:rsid w:val="00370C7F"/>
    <w:rsid w:val="0037195D"/>
    <w:rsid w:val="003722FF"/>
    <w:rsid w:val="00373385"/>
    <w:rsid w:val="003733EB"/>
    <w:rsid w:val="00374D16"/>
    <w:rsid w:val="00374F77"/>
    <w:rsid w:val="00380F4D"/>
    <w:rsid w:val="00382AE8"/>
    <w:rsid w:val="00383A3B"/>
    <w:rsid w:val="00384C70"/>
    <w:rsid w:val="00385FC3"/>
    <w:rsid w:val="003900EA"/>
    <w:rsid w:val="00390490"/>
    <w:rsid w:val="00392CCE"/>
    <w:rsid w:val="00393708"/>
    <w:rsid w:val="00394C66"/>
    <w:rsid w:val="003955F9"/>
    <w:rsid w:val="00396103"/>
    <w:rsid w:val="0039693A"/>
    <w:rsid w:val="00397A1B"/>
    <w:rsid w:val="00397B30"/>
    <w:rsid w:val="003A0188"/>
    <w:rsid w:val="003A2341"/>
    <w:rsid w:val="003A3CE5"/>
    <w:rsid w:val="003A3FE5"/>
    <w:rsid w:val="003A4791"/>
    <w:rsid w:val="003A4D9C"/>
    <w:rsid w:val="003A5820"/>
    <w:rsid w:val="003A62EB"/>
    <w:rsid w:val="003A6BBE"/>
    <w:rsid w:val="003B1083"/>
    <w:rsid w:val="003B1302"/>
    <w:rsid w:val="003B1D27"/>
    <w:rsid w:val="003B2B39"/>
    <w:rsid w:val="003B56D5"/>
    <w:rsid w:val="003B575F"/>
    <w:rsid w:val="003C23FC"/>
    <w:rsid w:val="003C241D"/>
    <w:rsid w:val="003C6A95"/>
    <w:rsid w:val="003D23B8"/>
    <w:rsid w:val="003D276B"/>
    <w:rsid w:val="003D2C3B"/>
    <w:rsid w:val="003D613A"/>
    <w:rsid w:val="003D65F2"/>
    <w:rsid w:val="003D6838"/>
    <w:rsid w:val="003E2FA7"/>
    <w:rsid w:val="003E5651"/>
    <w:rsid w:val="003E6317"/>
    <w:rsid w:val="003E78F2"/>
    <w:rsid w:val="003F0252"/>
    <w:rsid w:val="003F280F"/>
    <w:rsid w:val="003F35E9"/>
    <w:rsid w:val="003F4B2A"/>
    <w:rsid w:val="003F5A91"/>
    <w:rsid w:val="003F688D"/>
    <w:rsid w:val="00400620"/>
    <w:rsid w:val="00401FA0"/>
    <w:rsid w:val="00402444"/>
    <w:rsid w:val="00403EE9"/>
    <w:rsid w:val="0041044A"/>
    <w:rsid w:val="004105DD"/>
    <w:rsid w:val="00412350"/>
    <w:rsid w:val="00412D24"/>
    <w:rsid w:val="00414528"/>
    <w:rsid w:val="00420CF6"/>
    <w:rsid w:val="0042193E"/>
    <w:rsid w:val="00422F94"/>
    <w:rsid w:val="00423EDF"/>
    <w:rsid w:val="00423F20"/>
    <w:rsid w:val="004244A2"/>
    <w:rsid w:val="00424CB5"/>
    <w:rsid w:val="00425ED0"/>
    <w:rsid w:val="00426063"/>
    <w:rsid w:val="00426F4A"/>
    <w:rsid w:val="004278A5"/>
    <w:rsid w:val="00431823"/>
    <w:rsid w:val="00436D5A"/>
    <w:rsid w:val="00441381"/>
    <w:rsid w:val="00441535"/>
    <w:rsid w:val="00443F7A"/>
    <w:rsid w:val="0044403D"/>
    <w:rsid w:val="00444DC2"/>
    <w:rsid w:val="00452595"/>
    <w:rsid w:val="004553CB"/>
    <w:rsid w:val="00460F18"/>
    <w:rsid w:val="00462C0B"/>
    <w:rsid w:val="00462C1E"/>
    <w:rsid w:val="00463A81"/>
    <w:rsid w:val="00464B2A"/>
    <w:rsid w:val="004650F2"/>
    <w:rsid w:val="004653E4"/>
    <w:rsid w:val="004726DA"/>
    <w:rsid w:val="00475BB8"/>
    <w:rsid w:val="00475F0B"/>
    <w:rsid w:val="004775DE"/>
    <w:rsid w:val="004779A8"/>
    <w:rsid w:val="0048020B"/>
    <w:rsid w:val="00480CFA"/>
    <w:rsid w:val="00481B96"/>
    <w:rsid w:val="0048230B"/>
    <w:rsid w:val="00484144"/>
    <w:rsid w:val="00484C05"/>
    <w:rsid w:val="004859B8"/>
    <w:rsid w:val="0048738F"/>
    <w:rsid w:val="00490DFF"/>
    <w:rsid w:val="00492518"/>
    <w:rsid w:val="00493276"/>
    <w:rsid w:val="00493C82"/>
    <w:rsid w:val="00493FB5"/>
    <w:rsid w:val="004954F5"/>
    <w:rsid w:val="004A0913"/>
    <w:rsid w:val="004A0D0A"/>
    <w:rsid w:val="004A11D7"/>
    <w:rsid w:val="004A1628"/>
    <w:rsid w:val="004A180E"/>
    <w:rsid w:val="004A27F8"/>
    <w:rsid w:val="004A3B82"/>
    <w:rsid w:val="004A4BD6"/>
    <w:rsid w:val="004A4E69"/>
    <w:rsid w:val="004A563E"/>
    <w:rsid w:val="004A6237"/>
    <w:rsid w:val="004A6F3A"/>
    <w:rsid w:val="004B5602"/>
    <w:rsid w:val="004B6159"/>
    <w:rsid w:val="004C1AF4"/>
    <w:rsid w:val="004C2215"/>
    <w:rsid w:val="004C4CF9"/>
    <w:rsid w:val="004C5ABB"/>
    <w:rsid w:val="004C5CEC"/>
    <w:rsid w:val="004D1426"/>
    <w:rsid w:val="004D176E"/>
    <w:rsid w:val="004D1FBB"/>
    <w:rsid w:val="004D28F7"/>
    <w:rsid w:val="004D30E8"/>
    <w:rsid w:val="004D535A"/>
    <w:rsid w:val="004D7CF0"/>
    <w:rsid w:val="004E0BEF"/>
    <w:rsid w:val="004E1DDF"/>
    <w:rsid w:val="004E386B"/>
    <w:rsid w:val="004E4AA4"/>
    <w:rsid w:val="004E6387"/>
    <w:rsid w:val="004E6728"/>
    <w:rsid w:val="004E757E"/>
    <w:rsid w:val="004F2177"/>
    <w:rsid w:val="004F4DA8"/>
    <w:rsid w:val="004F4EC3"/>
    <w:rsid w:val="004F528B"/>
    <w:rsid w:val="004F64C3"/>
    <w:rsid w:val="004F6F4F"/>
    <w:rsid w:val="004F7F4E"/>
    <w:rsid w:val="00500EDC"/>
    <w:rsid w:val="00502649"/>
    <w:rsid w:val="00502942"/>
    <w:rsid w:val="00502E04"/>
    <w:rsid w:val="0050440A"/>
    <w:rsid w:val="005049E6"/>
    <w:rsid w:val="00505D05"/>
    <w:rsid w:val="00506A45"/>
    <w:rsid w:val="00507DD7"/>
    <w:rsid w:val="00511C08"/>
    <w:rsid w:val="00511C16"/>
    <w:rsid w:val="0051264C"/>
    <w:rsid w:val="005132EF"/>
    <w:rsid w:val="00513403"/>
    <w:rsid w:val="00513A43"/>
    <w:rsid w:val="005140E6"/>
    <w:rsid w:val="005143C8"/>
    <w:rsid w:val="00514A87"/>
    <w:rsid w:val="00516BC0"/>
    <w:rsid w:val="00520A66"/>
    <w:rsid w:val="00522074"/>
    <w:rsid w:val="00522D8A"/>
    <w:rsid w:val="005230C9"/>
    <w:rsid w:val="0052310D"/>
    <w:rsid w:val="00524013"/>
    <w:rsid w:val="005252CC"/>
    <w:rsid w:val="0052648A"/>
    <w:rsid w:val="005279FA"/>
    <w:rsid w:val="00527FBB"/>
    <w:rsid w:val="00530003"/>
    <w:rsid w:val="00532809"/>
    <w:rsid w:val="00533950"/>
    <w:rsid w:val="005346CB"/>
    <w:rsid w:val="0053634B"/>
    <w:rsid w:val="00537798"/>
    <w:rsid w:val="005403F3"/>
    <w:rsid w:val="00540C97"/>
    <w:rsid w:val="00542108"/>
    <w:rsid w:val="0054320B"/>
    <w:rsid w:val="0054344D"/>
    <w:rsid w:val="00543E4D"/>
    <w:rsid w:val="00550274"/>
    <w:rsid w:val="0055260D"/>
    <w:rsid w:val="005529E5"/>
    <w:rsid w:val="0055638F"/>
    <w:rsid w:val="00560942"/>
    <w:rsid w:val="00560CA6"/>
    <w:rsid w:val="00562867"/>
    <w:rsid w:val="005641ED"/>
    <w:rsid w:val="0056431B"/>
    <w:rsid w:val="00564DA5"/>
    <w:rsid w:val="00566C61"/>
    <w:rsid w:val="0057411C"/>
    <w:rsid w:val="00575B34"/>
    <w:rsid w:val="005767BE"/>
    <w:rsid w:val="0058063C"/>
    <w:rsid w:val="00580B39"/>
    <w:rsid w:val="00581A58"/>
    <w:rsid w:val="00581B9A"/>
    <w:rsid w:val="0058318F"/>
    <w:rsid w:val="00583251"/>
    <w:rsid w:val="0058554F"/>
    <w:rsid w:val="00585B71"/>
    <w:rsid w:val="00586322"/>
    <w:rsid w:val="0058712B"/>
    <w:rsid w:val="00587A20"/>
    <w:rsid w:val="00590891"/>
    <w:rsid w:val="00590DD5"/>
    <w:rsid w:val="005910DD"/>
    <w:rsid w:val="00592496"/>
    <w:rsid w:val="00593FF0"/>
    <w:rsid w:val="00594B08"/>
    <w:rsid w:val="00594D83"/>
    <w:rsid w:val="005958DD"/>
    <w:rsid w:val="005958FD"/>
    <w:rsid w:val="005A103F"/>
    <w:rsid w:val="005A15AC"/>
    <w:rsid w:val="005A25F1"/>
    <w:rsid w:val="005A65DA"/>
    <w:rsid w:val="005A65FA"/>
    <w:rsid w:val="005A71D1"/>
    <w:rsid w:val="005B02D9"/>
    <w:rsid w:val="005B1F5E"/>
    <w:rsid w:val="005B29B4"/>
    <w:rsid w:val="005B3294"/>
    <w:rsid w:val="005B3E61"/>
    <w:rsid w:val="005B5F9C"/>
    <w:rsid w:val="005C2FD3"/>
    <w:rsid w:val="005C638F"/>
    <w:rsid w:val="005C6EC6"/>
    <w:rsid w:val="005D32E3"/>
    <w:rsid w:val="005D37A4"/>
    <w:rsid w:val="005D38DA"/>
    <w:rsid w:val="005D46A1"/>
    <w:rsid w:val="005D7671"/>
    <w:rsid w:val="005D76E6"/>
    <w:rsid w:val="005E0386"/>
    <w:rsid w:val="005E2436"/>
    <w:rsid w:val="005E3716"/>
    <w:rsid w:val="005E3AD4"/>
    <w:rsid w:val="005E3DBD"/>
    <w:rsid w:val="005E4807"/>
    <w:rsid w:val="005E4D62"/>
    <w:rsid w:val="005F1551"/>
    <w:rsid w:val="005F3CC6"/>
    <w:rsid w:val="005F3D3D"/>
    <w:rsid w:val="005F4402"/>
    <w:rsid w:val="005F44CA"/>
    <w:rsid w:val="005F459A"/>
    <w:rsid w:val="005F6532"/>
    <w:rsid w:val="005F7BCC"/>
    <w:rsid w:val="00600422"/>
    <w:rsid w:val="006023FD"/>
    <w:rsid w:val="00605E52"/>
    <w:rsid w:val="00606093"/>
    <w:rsid w:val="0060665D"/>
    <w:rsid w:val="006079F8"/>
    <w:rsid w:val="00611458"/>
    <w:rsid w:val="00615997"/>
    <w:rsid w:val="006237EB"/>
    <w:rsid w:val="00624C90"/>
    <w:rsid w:val="00626847"/>
    <w:rsid w:val="00626BB5"/>
    <w:rsid w:val="00626D18"/>
    <w:rsid w:val="006273B4"/>
    <w:rsid w:val="00627C23"/>
    <w:rsid w:val="00630BBC"/>
    <w:rsid w:val="00632FF8"/>
    <w:rsid w:val="006338B9"/>
    <w:rsid w:val="006344AD"/>
    <w:rsid w:val="00634EEB"/>
    <w:rsid w:val="006379BC"/>
    <w:rsid w:val="00640B36"/>
    <w:rsid w:val="0064679F"/>
    <w:rsid w:val="00646B8E"/>
    <w:rsid w:val="00647944"/>
    <w:rsid w:val="00647E9B"/>
    <w:rsid w:val="00650D98"/>
    <w:rsid w:val="00650EA9"/>
    <w:rsid w:val="006515BD"/>
    <w:rsid w:val="00653692"/>
    <w:rsid w:val="0065741F"/>
    <w:rsid w:val="00657C17"/>
    <w:rsid w:val="00657ED3"/>
    <w:rsid w:val="00664D2D"/>
    <w:rsid w:val="00664D92"/>
    <w:rsid w:val="00664ED6"/>
    <w:rsid w:val="00666C93"/>
    <w:rsid w:val="00671C77"/>
    <w:rsid w:val="006753C3"/>
    <w:rsid w:val="00675BF8"/>
    <w:rsid w:val="0067637E"/>
    <w:rsid w:val="00676389"/>
    <w:rsid w:val="00681073"/>
    <w:rsid w:val="006817F1"/>
    <w:rsid w:val="00682CA3"/>
    <w:rsid w:val="006834E6"/>
    <w:rsid w:val="00684534"/>
    <w:rsid w:val="00684542"/>
    <w:rsid w:val="00684B6E"/>
    <w:rsid w:val="006864E4"/>
    <w:rsid w:val="00690F1A"/>
    <w:rsid w:val="006910D4"/>
    <w:rsid w:val="006922AB"/>
    <w:rsid w:val="00694FCF"/>
    <w:rsid w:val="0069693D"/>
    <w:rsid w:val="006974F3"/>
    <w:rsid w:val="006A137B"/>
    <w:rsid w:val="006A281B"/>
    <w:rsid w:val="006A2D69"/>
    <w:rsid w:val="006A305B"/>
    <w:rsid w:val="006B01BA"/>
    <w:rsid w:val="006B16F5"/>
    <w:rsid w:val="006B1C22"/>
    <w:rsid w:val="006B2067"/>
    <w:rsid w:val="006B2C22"/>
    <w:rsid w:val="006B38DB"/>
    <w:rsid w:val="006B435A"/>
    <w:rsid w:val="006B446A"/>
    <w:rsid w:val="006B733C"/>
    <w:rsid w:val="006C01F4"/>
    <w:rsid w:val="006C092B"/>
    <w:rsid w:val="006C1702"/>
    <w:rsid w:val="006C2247"/>
    <w:rsid w:val="006C40F6"/>
    <w:rsid w:val="006C438F"/>
    <w:rsid w:val="006C4778"/>
    <w:rsid w:val="006D1DD6"/>
    <w:rsid w:val="006D2376"/>
    <w:rsid w:val="006D339C"/>
    <w:rsid w:val="006D5910"/>
    <w:rsid w:val="006D6AA3"/>
    <w:rsid w:val="006D7511"/>
    <w:rsid w:val="006E1E24"/>
    <w:rsid w:val="006E4BC8"/>
    <w:rsid w:val="006E68AC"/>
    <w:rsid w:val="006E7C58"/>
    <w:rsid w:val="006F1AEA"/>
    <w:rsid w:val="006F2A3C"/>
    <w:rsid w:val="006F4023"/>
    <w:rsid w:val="006F4B20"/>
    <w:rsid w:val="006F4DA6"/>
    <w:rsid w:val="006F52A0"/>
    <w:rsid w:val="006F700A"/>
    <w:rsid w:val="006F761F"/>
    <w:rsid w:val="00701EB9"/>
    <w:rsid w:val="00704FE2"/>
    <w:rsid w:val="0071088F"/>
    <w:rsid w:val="0071195D"/>
    <w:rsid w:val="007128EC"/>
    <w:rsid w:val="0071522A"/>
    <w:rsid w:val="007162C8"/>
    <w:rsid w:val="00716E71"/>
    <w:rsid w:val="00720C9F"/>
    <w:rsid w:val="00724649"/>
    <w:rsid w:val="00725FA9"/>
    <w:rsid w:val="00726F93"/>
    <w:rsid w:val="00733212"/>
    <w:rsid w:val="007341F5"/>
    <w:rsid w:val="007350FA"/>
    <w:rsid w:val="007358B1"/>
    <w:rsid w:val="00735EEB"/>
    <w:rsid w:val="00736640"/>
    <w:rsid w:val="00737F41"/>
    <w:rsid w:val="007410BE"/>
    <w:rsid w:val="0074172D"/>
    <w:rsid w:val="00742BA1"/>
    <w:rsid w:val="00743001"/>
    <w:rsid w:val="00745D6D"/>
    <w:rsid w:val="00746F3D"/>
    <w:rsid w:val="00751337"/>
    <w:rsid w:val="0075311D"/>
    <w:rsid w:val="007538B8"/>
    <w:rsid w:val="00753EA6"/>
    <w:rsid w:val="00754128"/>
    <w:rsid w:val="00754F8F"/>
    <w:rsid w:val="00756345"/>
    <w:rsid w:val="00756D0A"/>
    <w:rsid w:val="00756E0B"/>
    <w:rsid w:val="007579D8"/>
    <w:rsid w:val="007610DC"/>
    <w:rsid w:val="00761617"/>
    <w:rsid w:val="00761ECA"/>
    <w:rsid w:val="00761FF7"/>
    <w:rsid w:val="00762561"/>
    <w:rsid w:val="007641AB"/>
    <w:rsid w:val="00765F2A"/>
    <w:rsid w:val="00767952"/>
    <w:rsid w:val="00772E53"/>
    <w:rsid w:val="00774398"/>
    <w:rsid w:val="007751EF"/>
    <w:rsid w:val="00775C63"/>
    <w:rsid w:val="00775E42"/>
    <w:rsid w:val="00777DAF"/>
    <w:rsid w:val="00781200"/>
    <w:rsid w:val="00782199"/>
    <w:rsid w:val="0078316C"/>
    <w:rsid w:val="00783D81"/>
    <w:rsid w:val="00786237"/>
    <w:rsid w:val="00791140"/>
    <w:rsid w:val="007923DE"/>
    <w:rsid w:val="007924A3"/>
    <w:rsid w:val="007948E0"/>
    <w:rsid w:val="007960BB"/>
    <w:rsid w:val="00796A6D"/>
    <w:rsid w:val="007A29C4"/>
    <w:rsid w:val="007A2A7D"/>
    <w:rsid w:val="007A448C"/>
    <w:rsid w:val="007A5DDB"/>
    <w:rsid w:val="007A5E87"/>
    <w:rsid w:val="007A6948"/>
    <w:rsid w:val="007B0254"/>
    <w:rsid w:val="007B11C5"/>
    <w:rsid w:val="007B731B"/>
    <w:rsid w:val="007B7B80"/>
    <w:rsid w:val="007C06C3"/>
    <w:rsid w:val="007C12D2"/>
    <w:rsid w:val="007C1A53"/>
    <w:rsid w:val="007C3127"/>
    <w:rsid w:val="007C3B13"/>
    <w:rsid w:val="007C5323"/>
    <w:rsid w:val="007C6271"/>
    <w:rsid w:val="007C6A70"/>
    <w:rsid w:val="007D05B6"/>
    <w:rsid w:val="007D09F4"/>
    <w:rsid w:val="007D16EE"/>
    <w:rsid w:val="007D1B72"/>
    <w:rsid w:val="007D34FB"/>
    <w:rsid w:val="007D490D"/>
    <w:rsid w:val="007D4982"/>
    <w:rsid w:val="007D4A06"/>
    <w:rsid w:val="007D7E1C"/>
    <w:rsid w:val="007E0011"/>
    <w:rsid w:val="007E1B13"/>
    <w:rsid w:val="007E3169"/>
    <w:rsid w:val="007E557B"/>
    <w:rsid w:val="007E6D12"/>
    <w:rsid w:val="007E77A2"/>
    <w:rsid w:val="007E783B"/>
    <w:rsid w:val="007E78E3"/>
    <w:rsid w:val="007E7F53"/>
    <w:rsid w:val="007F045C"/>
    <w:rsid w:val="007F059F"/>
    <w:rsid w:val="007F0795"/>
    <w:rsid w:val="007F0A5E"/>
    <w:rsid w:val="007F1A1D"/>
    <w:rsid w:val="007F5540"/>
    <w:rsid w:val="007F568B"/>
    <w:rsid w:val="00800435"/>
    <w:rsid w:val="008014DB"/>
    <w:rsid w:val="008045E0"/>
    <w:rsid w:val="00805C16"/>
    <w:rsid w:val="00807ECC"/>
    <w:rsid w:val="00811313"/>
    <w:rsid w:val="008114ED"/>
    <w:rsid w:val="00813612"/>
    <w:rsid w:val="0081416E"/>
    <w:rsid w:val="00815B5C"/>
    <w:rsid w:val="00816AF6"/>
    <w:rsid w:val="00816D9C"/>
    <w:rsid w:val="0081785F"/>
    <w:rsid w:val="00821B9A"/>
    <w:rsid w:val="0082283C"/>
    <w:rsid w:val="00822B30"/>
    <w:rsid w:val="008236DE"/>
    <w:rsid w:val="00823767"/>
    <w:rsid w:val="008239D9"/>
    <w:rsid w:val="00832A75"/>
    <w:rsid w:val="008333E2"/>
    <w:rsid w:val="00833452"/>
    <w:rsid w:val="00834574"/>
    <w:rsid w:val="008348D1"/>
    <w:rsid w:val="008352AE"/>
    <w:rsid w:val="00835C69"/>
    <w:rsid w:val="00836A3B"/>
    <w:rsid w:val="00837AFB"/>
    <w:rsid w:val="00840415"/>
    <w:rsid w:val="00841776"/>
    <w:rsid w:val="0084178C"/>
    <w:rsid w:val="00842BD3"/>
    <w:rsid w:val="008433D0"/>
    <w:rsid w:val="00843508"/>
    <w:rsid w:val="008452AE"/>
    <w:rsid w:val="00845F89"/>
    <w:rsid w:val="008463B9"/>
    <w:rsid w:val="00846CFB"/>
    <w:rsid w:val="00847693"/>
    <w:rsid w:val="00847856"/>
    <w:rsid w:val="00853A4E"/>
    <w:rsid w:val="00853D12"/>
    <w:rsid w:val="00854407"/>
    <w:rsid w:val="0085490E"/>
    <w:rsid w:val="0085493A"/>
    <w:rsid w:val="00854E84"/>
    <w:rsid w:val="00855A93"/>
    <w:rsid w:val="0085657F"/>
    <w:rsid w:val="00856ED9"/>
    <w:rsid w:val="00857B54"/>
    <w:rsid w:val="00857E03"/>
    <w:rsid w:val="00861969"/>
    <w:rsid w:val="00864C93"/>
    <w:rsid w:val="00866806"/>
    <w:rsid w:val="00866F29"/>
    <w:rsid w:val="0086719D"/>
    <w:rsid w:val="00873B97"/>
    <w:rsid w:val="00875044"/>
    <w:rsid w:val="00875652"/>
    <w:rsid w:val="0087621A"/>
    <w:rsid w:val="00876E0F"/>
    <w:rsid w:val="008819EF"/>
    <w:rsid w:val="0088444A"/>
    <w:rsid w:val="00885A0B"/>
    <w:rsid w:val="00885BCA"/>
    <w:rsid w:val="008870B5"/>
    <w:rsid w:val="008904BB"/>
    <w:rsid w:val="008916C4"/>
    <w:rsid w:val="00893403"/>
    <w:rsid w:val="00894215"/>
    <w:rsid w:val="008968ED"/>
    <w:rsid w:val="008A28FE"/>
    <w:rsid w:val="008A37AB"/>
    <w:rsid w:val="008A3DC2"/>
    <w:rsid w:val="008A575B"/>
    <w:rsid w:val="008A58BA"/>
    <w:rsid w:val="008A6EE1"/>
    <w:rsid w:val="008A712D"/>
    <w:rsid w:val="008B1B8F"/>
    <w:rsid w:val="008B52FC"/>
    <w:rsid w:val="008B59FE"/>
    <w:rsid w:val="008B6757"/>
    <w:rsid w:val="008B69BC"/>
    <w:rsid w:val="008C0376"/>
    <w:rsid w:val="008C0DBB"/>
    <w:rsid w:val="008C1679"/>
    <w:rsid w:val="008C1869"/>
    <w:rsid w:val="008C246F"/>
    <w:rsid w:val="008C24A4"/>
    <w:rsid w:val="008C28DC"/>
    <w:rsid w:val="008C391D"/>
    <w:rsid w:val="008C5632"/>
    <w:rsid w:val="008C57F7"/>
    <w:rsid w:val="008C6542"/>
    <w:rsid w:val="008C74C3"/>
    <w:rsid w:val="008D080E"/>
    <w:rsid w:val="008D0892"/>
    <w:rsid w:val="008D2DEE"/>
    <w:rsid w:val="008D59C1"/>
    <w:rsid w:val="008E1209"/>
    <w:rsid w:val="008E71F1"/>
    <w:rsid w:val="008E76B9"/>
    <w:rsid w:val="008F028E"/>
    <w:rsid w:val="008F0607"/>
    <w:rsid w:val="008F3B28"/>
    <w:rsid w:val="008F654B"/>
    <w:rsid w:val="008F6AC4"/>
    <w:rsid w:val="008F7B75"/>
    <w:rsid w:val="00900220"/>
    <w:rsid w:val="009014A9"/>
    <w:rsid w:val="00906D2A"/>
    <w:rsid w:val="00906D44"/>
    <w:rsid w:val="009074D8"/>
    <w:rsid w:val="00907EBC"/>
    <w:rsid w:val="00907F2C"/>
    <w:rsid w:val="00910CE5"/>
    <w:rsid w:val="009125B1"/>
    <w:rsid w:val="00913B7C"/>
    <w:rsid w:val="009144A3"/>
    <w:rsid w:val="009202A8"/>
    <w:rsid w:val="00921BD5"/>
    <w:rsid w:val="009220A3"/>
    <w:rsid w:val="00924D99"/>
    <w:rsid w:val="00924ED2"/>
    <w:rsid w:val="00927013"/>
    <w:rsid w:val="0092716E"/>
    <w:rsid w:val="00930240"/>
    <w:rsid w:val="009351F2"/>
    <w:rsid w:val="00936168"/>
    <w:rsid w:val="009404EF"/>
    <w:rsid w:val="00942936"/>
    <w:rsid w:val="00943F69"/>
    <w:rsid w:val="0094669E"/>
    <w:rsid w:val="00947926"/>
    <w:rsid w:val="00947F35"/>
    <w:rsid w:val="00950FC5"/>
    <w:rsid w:val="00953428"/>
    <w:rsid w:val="00955DC8"/>
    <w:rsid w:val="00957276"/>
    <w:rsid w:val="009572C9"/>
    <w:rsid w:val="00957724"/>
    <w:rsid w:val="00962EB9"/>
    <w:rsid w:val="0096456F"/>
    <w:rsid w:val="00964BD6"/>
    <w:rsid w:val="00965036"/>
    <w:rsid w:val="00966D9C"/>
    <w:rsid w:val="0097060C"/>
    <w:rsid w:val="00970687"/>
    <w:rsid w:val="009709D0"/>
    <w:rsid w:val="0097152E"/>
    <w:rsid w:val="00973AE0"/>
    <w:rsid w:val="009763DD"/>
    <w:rsid w:val="009774E5"/>
    <w:rsid w:val="009779C4"/>
    <w:rsid w:val="00983680"/>
    <w:rsid w:val="00983A79"/>
    <w:rsid w:val="00986F0B"/>
    <w:rsid w:val="00990CCD"/>
    <w:rsid w:val="00995306"/>
    <w:rsid w:val="0099575F"/>
    <w:rsid w:val="009963C5"/>
    <w:rsid w:val="00996603"/>
    <w:rsid w:val="009A0202"/>
    <w:rsid w:val="009A1B24"/>
    <w:rsid w:val="009A1E97"/>
    <w:rsid w:val="009A4C24"/>
    <w:rsid w:val="009B18C1"/>
    <w:rsid w:val="009B2ABA"/>
    <w:rsid w:val="009B363E"/>
    <w:rsid w:val="009B3768"/>
    <w:rsid w:val="009B4C00"/>
    <w:rsid w:val="009B63FC"/>
    <w:rsid w:val="009C7C1E"/>
    <w:rsid w:val="009C7F9E"/>
    <w:rsid w:val="009D0B42"/>
    <w:rsid w:val="009D0D44"/>
    <w:rsid w:val="009D2200"/>
    <w:rsid w:val="009D2CB3"/>
    <w:rsid w:val="009D3024"/>
    <w:rsid w:val="009D3A03"/>
    <w:rsid w:val="009D5AEE"/>
    <w:rsid w:val="009D62B7"/>
    <w:rsid w:val="009E1A23"/>
    <w:rsid w:val="009E1C60"/>
    <w:rsid w:val="009E3A71"/>
    <w:rsid w:val="009E4BBD"/>
    <w:rsid w:val="009E5E2F"/>
    <w:rsid w:val="009E6620"/>
    <w:rsid w:val="009E7398"/>
    <w:rsid w:val="009F213E"/>
    <w:rsid w:val="009F2364"/>
    <w:rsid w:val="009F2BB2"/>
    <w:rsid w:val="009F3798"/>
    <w:rsid w:val="009F3839"/>
    <w:rsid w:val="009F4765"/>
    <w:rsid w:val="009F798B"/>
    <w:rsid w:val="00A008A9"/>
    <w:rsid w:val="00A013E0"/>
    <w:rsid w:val="00A04825"/>
    <w:rsid w:val="00A05404"/>
    <w:rsid w:val="00A06ADC"/>
    <w:rsid w:val="00A0789A"/>
    <w:rsid w:val="00A07A5D"/>
    <w:rsid w:val="00A1079F"/>
    <w:rsid w:val="00A11B0E"/>
    <w:rsid w:val="00A12B18"/>
    <w:rsid w:val="00A1312D"/>
    <w:rsid w:val="00A13441"/>
    <w:rsid w:val="00A1486F"/>
    <w:rsid w:val="00A14FEB"/>
    <w:rsid w:val="00A16490"/>
    <w:rsid w:val="00A165E9"/>
    <w:rsid w:val="00A17C96"/>
    <w:rsid w:val="00A2109E"/>
    <w:rsid w:val="00A21115"/>
    <w:rsid w:val="00A21B9A"/>
    <w:rsid w:val="00A21F2B"/>
    <w:rsid w:val="00A22EFF"/>
    <w:rsid w:val="00A244A6"/>
    <w:rsid w:val="00A25724"/>
    <w:rsid w:val="00A262E3"/>
    <w:rsid w:val="00A304BF"/>
    <w:rsid w:val="00A311B3"/>
    <w:rsid w:val="00A313EB"/>
    <w:rsid w:val="00A33934"/>
    <w:rsid w:val="00A34941"/>
    <w:rsid w:val="00A36D85"/>
    <w:rsid w:val="00A36FBC"/>
    <w:rsid w:val="00A370A1"/>
    <w:rsid w:val="00A376CD"/>
    <w:rsid w:val="00A40AAD"/>
    <w:rsid w:val="00A425D2"/>
    <w:rsid w:val="00A4446B"/>
    <w:rsid w:val="00A44E62"/>
    <w:rsid w:val="00A506AE"/>
    <w:rsid w:val="00A50730"/>
    <w:rsid w:val="00A5496D"/>
    <w:rsid w:val="00A54E68"/>
    <w:rsid w:val="00A5583D"/>
    <w:rsid w:val="00A563A2"/>
    <w:rsid w:val="00A56519"/>
    <w:rsid w:val="00A56B4D"/>
    <w:rsid w:val="00A56B94"/>
    <w:rsid w:val="00A56FCA"/>
    <w:rsid w:val="00A621D2"/>
    <w:rsid w:val="00A621F7"/>
    <w:rsid w:val="00A62A91"/>
    <w:rsid w:val="00A65DE3"/>
    <w:rsid w:val="00A66B83"/>
    <w:rsid w:val="00A66E7F"/>
    <w:rsid w:val="00A67ED7"/>
    <w:rsid w:val="00A71FE0"/>
    <w:rsid w:val="00A725DB"/>
    <w:rsid w:val="00A72F1E"/>
    <w:rsid w:val="00A74149"/>
    <w:rsid w:val="00A7574A"/>
    <w:rsid w:val="00A77858"/>
    <w:rsid w:val="00A80921"/>
    <w:rsid w:val="00A8202B"/>
    <w:rsid w:val="00A822B7"/>
    <w:rsid w:val="00A82C4D"/>
    <w:rsid w:val="00A844B9"/>
    <w:rsid w:val="00A87C5D"/>
    <w:rsid w:val="00A91C64"/>
    <w:rsid w:val="00A927B4"/>
    <w:rsid w:val="00A92FB7"/>
    <w:rsid w:val="00A94332"/>
    <w:rsid w:val="00A96014"/>
    <w:rsid w:val="00A961BB"/>
    <w:rsid w:val="00A96C43"/>
    <w:rsid w:val="00A97326"/>
    <w:rsid w:val="00A97D36"/>
    <w:rsid w:val="00AA1258"/>
    <w:rsid w:val="00AA12C3"/>
    <w:rsid w:val="00AA2085"/>
    <w:rsid w:val="00AA361C"/>
    <w:rsid w:val="00AA514F"/>
    <w:rsid w:val="00AA5C99"/>
    <w:rsid w:val="00AA5D74"/>
    <w:rsid w:val="00AA5F02"/>
    <w:rsid w:val="00AA676B"/>
    <w:rsid w:val="00AA73A1"/>
    <w:rsid w:val="00AB1893"/>
    <w:rsid w:val="00AB2AF5"/>
    <w:rsid w:val="00AB4144"/>
    <w:rsid w:val="00AC0018"/>
    <w:rsid w:val="00AC1981"/>
    <w:rsid w:val="00AC2F71"/>
    <w:rsid w:val="00AC3361"/>
    <w:rsid w:val="00AC4174"/>
    <w:rsid w:val="00AC4ECE"/>
    <w:rsid w:val="00AC6F90"/>
    <w:rsid w:val="00AD0BF9"/>
    <w:rsid w:val="00AD26A8"/>
    <w:rsid w:val="00AD2889"/>
    <w:rsid w:val="00AE035B"/>
    <w:rsid w:val="00AE0605"/>
    <w:rsid w:val="00AE0864"/>
    <w:rsid w:val="00AE0937"/>
    <w:rsid w:val="00AE13DC"/>
    <w:rsid w:val="00AE4A35"/>
    <w:rsid w:val="00AE4A60"/>
    <w:rsid w:val="00AE4B4F"/>
    <w:rsid w:val="00AE5AD4"/>
    <w:rsid w:val="00AE5B71"/>
    <w:rsid w:val="00AE7336"/>
    <w:rsid w:val="00AE7AB3"/>
    <w:rsid w:val="00AE7BC6"/>
    <w:rsid w:val="00AE7C4B"/>
    <w:rsid w:val="00AE7DD4"/>
    <w:rsid w:val="00AF2435"/>
    <w:rsid w:val="00AF2643"/>
    <w:rsid w:val="00AF474B"/>
    <w:rsid w:val="00AF6908"/>
    <w:rsid w:val="00AF7B3B"/>
    <w:rsid w:val="00B023C6"/>
    <w:rsid w:val="00B03F04"/>
    <w:rsid w:val="00B055BD"/>
    <w:rsid w:val="00B0592C"/>
    <w:rsid w:val="00B06D08"/>
    <w:rsid w:val="00B07D47"/>
    <w:rsid w:val="00B07DC5"/>
    <w:rsid w:val="00B1006C"/>
    <w:rsid w:val="00B12016"/>
    <w:rsid w:val="00B12E3D"/>
    <w:rsid w:val="00B130CC"/>
    <w:rsid w:val="00B14BB7"/>
    <w:rsid w:val="00B15C79"/>
    <w:rsid w:val="00B1770C"/>
    <w:rsid w:val="00B17E0F"/>
    <w:rsid w:val="00B22D74"/>
    <w:rsid w:val="00B243ED"/>
    <w:rsid w:val="00B30DC3"/>
    <w:rsid w:val="00B31A39"/>
    <w:rsid w:val="00B3224A"/>
    <w:rsid w:val="00B326E7"/>
    <w:rsid w:val="00B3397E"/>
    <w:rsid w:val="00B33B2A"/>
    <w:rsid w:val="00B34968"/>
    <w:rsid w:val="00B411AB"/>
    <w:rsid w:val="00B41D32"/>
    <w:rsid w:val="00B41E4E"/>
    <w:rsid w:val="00B46BF2"/>
    <w:rsid w:val="00B60D7A"/>
    <w:rsid w:val="00B618B5"/>
    <w:rsid w:val="00B62C4B"/>
    <w:rsid w:val="00B63FFA"/>
    <w:rsid w:val="00B64794"/>
    <w:rsid w:val="00B66D06"/>
    <w:rsid w:val="00B66FA7"/>
    <w:rsid w:val="00B67B68"/>
    <w:rsid w:val="00B67C93"/>
    <w:rsid w:val="00B72695"/>
    <w:rsid w:val="00B73495"/>
    <w:rsid w:val="00B808DF"/>
    <w:rsid w:val="00B80EA1"/>
    <w:rsid w:val="00B86ED7"/>
    <w:rsid w:val="00B87689"/>
    <w:rsid w:val="00B90B15"/>
    <w:rsid w:val="00B90B64"/>
    <w:rsid w:val="00B92C60"/>
    <w:rsid w:val="00B92ECD"/>
    <w:rsid w:val="00B94034"/>
    <w:rsid w:val="00B94149"/>
    <w:rsid w:val="00B94282"/>
    <w:rsid w:val="00B9525A"/>
    <w:rsid w:val="00B957FC"/>
    <w:rsid w:val="00B97B79"/>
    <w:rsid w:val="00BA15CC"/>
    <w:rsid w:val="00BA38F9"/>
    <w:rsid w:val="00BA44E6"/>
    <w:rsid w:val="00BA6123"/>
    <w:rsid w:val="00BA76A0"/>
    <w:rsid w:val="00BB006C"/>
    <w:rsid w:val="00BB0DCE"/>
    <w:rsid w:val="00BB1D71"/>
    <w:rsid w:val="00BB3066"/>
    <w:rsid w:val="00BB30F7"/>
    <w:rsid w:val="00BB323B"/>
    <w:rsid w:val="00BB3DCF"/>
    <w:rsid w:val="00BB5EC6"/>
    <w:rsid w:val="00BC4667"/>
    <w:rsid w:val="00BC4F36"/>
    <w:rsid w:val="00BC59F9"/>
    <w:rsid w:val="00BC5C5E"/>
    <w:rsid w:val="00BC6B78"/>
    <w:rsid w:val="00BC7B0D"/>
    <w:rsid w:val="00BD1CBE"/>
    <w:rsid w:val="00BD5E26"/>
    <w:rsid w:val="00BD717E"/>
    <w:rsid w:val="00BD7708"/>
    <w:rsid w:val="00BD7A92"/>
    <w:rsid w:val="00BE0370"/>
    <w:rsid w:val="00BE37E7"/>
    <w:rsid w:val="00BE3F03"/>
    <w:rsid w:val="00BE469B"/>
    <w:rsid w:val="00BE520B"/>
    <w:rsid w:val="00BE667B"/>
    <w:rsid w:val="00BE7015"/>
    <w:rsid w:val="00BE79BC"/>
    <w:rsid w:val="00BE7A85"/>
    <w:rsid w:val="00BE7D81"/>
    <w:rsid w:val="00BE7EA7"/>
    <w:rsid w:val="00BF1F78"/>
    <w:rsid w:val="00BF2B04"/>
    <w:rsid w:val="00BF67AD"/>
    <w:rsid w:val="00BF7E4F"/>
    <w:rsid w:val="00C00BC6"/>
    <w:rsid w:val="00C03490"/>
    <w:rsid w:val="00C03D89"/>
    <w:rsid w:val="00C03E9D"/>
    <w:rsid w:val="00C04FEB"/>
    <w:rsid w:val="00C05DD9"/>
    <w:rsid w:val="00C05FFD"/>
    <w:rsid w:val="00C07A30"/>
    <w:rsid w:val="00C1027A"/>
    <w:rsid w:val="00C11F93"/>
    <w:rsid w:val="00C1211B"/>
    <w:rsid w:val="00C12826"/>
    <w:rsid w:val="00C133B1"/>
    <w:rsid w:val="00C135E4"/>
    <w:rsid w:val="00C147F1"/>
    <w:rsid w:val="00C15118"/>
    <w:rsid w:val="00C1798C"/>
    <w:rsid w:val="00C203B9"/>
    <w:rsid w:val="00C20711"/>
    <w:rsid w:val="00C20791"/>
    <w:rsid w:val="00C21F3F"/>
    <w:rsid w:val="00C22074"/>
    <w:rsid w:val="00C23667"/>
    <w:rsid w:val="00C23782"/>
    <w:rsid w:val="00C23D82"/>
    <w:rsid w:val="00C26416"/>
    <w:rsid w:val="00C320B3"/>
    <w:rsid w:val="00C348C3"/>
    <w:rsid w:val="00C354EF"/>
    <w:rsid w:val="00C36274"/>
    <w:rsid w:val="00C40179"/>
    <w:rsid w:val="00C412F2"/>
    <w:rsid w:val="00C413D5"/>
    <w:rsid w:val="00C4404A"/>
    <w:rsid w:val="00C46815"/>
    <w:rsid w:val="00C477F8"/>
    <w:rsid w:val="00C500E1"/>
    <w:rsid w:val="00C5377E"/>
    <w:rsid w:val="00C542A1"/>
    <w:rsid w:val="00C572B4"/>
    <w:rsid w:val="00C60542"/>
    <w:rsid w:val="00C60946"/>
    <w:rsid w:val="00C60997"/>
    <w:rsid w:val="00C61C80"/>
    <w:rsid w:val="00C6226B"/>
    <w:rsid w:val="00C6302A"/>
    <w:rsid w:val="00C654B0"/>
    <w:rsid w:val="00C6649C"/>
    <w:rsid w:val="00C664AD"/>
    <w:rsid w:val="00C66ECF"/>
    <w:rsid w:val="00C67A70"/>
    <w:rsid w:val="00C67A71"/>
    <w:rsid w:val="00C73736"/>
    <w:rsid w:val="00C75D69"/>
    <w:rsid w:val="00C760C0"/>
    <w:rsid w:val="00C809DB"/>
    <w:rsid w:val="00C8179F"/>
    <w:rsid w:val="00C9109E"/>
    <w:rsid w:val="00C911DF"/>
    <w:rsid w:val="00C92E22"/>
    <w:rsid w:val="00C938A9"/>
    <w:rsid w:val="00C9497C"/>
    <w:rsid w:val="00C95CA9"/>
    <w:rsid w:val="00C97F4A"/>
    <w:rsid w:val="00CA1AF9"/>
    <w:rsid w:val="00CA2ECE"/>
    <w:rsid w:val="00CA5BF4"/>
    <w:rsid w:val="00CA5CFF"/>
    <w:rsid w:val="00CB0554"/>
    <w:rsid w:val="00CB1421"/>
    <w:rsid w:val="00CB1D37"/>
    <w:rsid w:val="00CB297F"/>
    <w:rsid w:val="00CB6A9C"/>
    <w:rsid w:val="00CB6BE6"/>
    <w:rsid w:val="00CC363E"/>
    <w:rsid w:val="00CC5E7C"/>
    <w:rsid w:val="00CD4193"/>
    <w:rsid w:val="00CD562E"/>
    <w:rsid w:val="00CD63CB"/>
    <w:rsid w:val="00CD73C5"/>
    <w:rsid w:val="00CD7894"/>
    <w:rsid w:val="00CD7B20"/>
    <w:rsid w:val="00CE0483"/>
    <w:rsid w:val="00CE20EE"/>
    <w:rsid w:val="00CE2B7F"/>
    <w:rsid w:val="00CE3BB5"/>
    <w:rsid w:val="00CE4A8F"/>
    <w:rsid w:val="00CF2326"/>
    <w:rsid w:val="00CF4FCC"/>
    <w:rsid w:val="00CF50E5"/>
    <w:rsid w:val="00CF531D"/>
    <w:rsid w:val="00CF61B6"/>
    <w:rsid w:val="00D00477"/>
    <w:rsid w:val="00D00E32"/>
    <w:rsid w:val="00D02351"/>
    <w:rsid w:val="00D0663D"/>
    <w:rsid w:val="00D07A8A"/>
    <w:rsid w:val="00D1173B"/>
    <w:rsid w:val="00D11A18"/>
    <w:rsid w:val="00D11B4F"/>
    <w:rsid w:val="00D128B4"/>
    <w:rsid w:val="00D142ED"/>
    <w:rsid w:val="00D148F0"/>
    <w:rsid w:val="00D16743"/>
    <w:rsid w:val="00D20707"/>
    <w:rsid w:val="00D23F43"/>
    <w:rsid w:val="00D24BD7"/>
    <w:rsid w:val="00D2796B"/>
    <w:rsid w:val="00D330F6"/>
    <w:rsid w:val="00D37329"/>
    <w:rsid w:val="00D406CE"/>
    <w:rsid w:val="00D4179D"/>
    <w:rsid w:val="00D43063"/>
    <w:rsid w:val="00D449C9"/>
    <w:rsid w:val="00D47001"/>
    <w:rsid w:val="00D47711"/>
    <w:rsid w:val="00D515E9"/>
    <w:rsid w:val="00D51BDD"/>
    <w:rsid w:val="00D52062"/>
    <w:rsid w:val="00D538F6"/>
    <w:rsid w:val="00D53C71"/>
    <w:rsid w:val="00D54A16"/>
    <w:rsid w:val="00D559E0"/>
    <w:rsid w:val="00D55A37"/>
    <w:rsid w:val="00D55C47"/>
    <w:rsid w:val="00D55C99"/>
    <w:rsid w:val="00D620F1"/>
    <w:rsid w:val="00D65EAB"/>
    <w:rsid w:val="00D65F84"/>
    <w:rsid w:val="00D668BC"/>
    <w:rsid w:val="00D6717C"/>
    <w:rsid w:val="00D73597"/>
    <w:rsid w:val="00D74572"/>
    <w:rsid w:val="00D7558B"/>
    <w:rsid w:val="00D76796"/>
    <w:rsid w:val="00D808C9"/>
    <w:rsid w:val="00D8250D"/>
    <w:rsid w:val="00D83030"/>
    <w:rsid w:val="00D83290"/>
    <w:rsid w:val="00D84C00"/>
    <w:rsid w:val="00D87049"/>
    <w:rsid w:val="00D8709C"/>
    <w:rsid w:val="00D9147C"/>
    <w:rsid w:val="00D9281C"/>
    <w:rsid w:val="00D929E2"/>
    <w:rsid w:val="00D930F4"/>
    <w:rsid w:val="00D943E6"/>
    <w:rsid w:val="00D97CB9"/>
    <w:rsid w:val="00D97E7C"/>
    <w:rsid w:val="00DA21B0"/>
    <w:rsid w:val="00DA27E4"/>
    <w:rsid w:val="00DA2829"/>
    <w:rsid w:val="00DA2D5E"/>
    <w:rsid w:val="00DA525F"/>
    <w:rsid w:val="00DA6263"/>
    <w:rsid w:val="00DB141F"/>
    <w:rsid w:val="00DB271C"/>
    <w:rsid w:val="00DB28AD"/>
    <w:rsid w:val="00DB2D3F"/>
    <w:rsid w:val="00DB4DBC"/>
    <w:rsid w:val="00DB6B46"/>
    <w:rsid w:val="00DB7216"/>
    <w:rsid w:val="00DC3017"/>
    <w:rsid w:val="00DC3E9F"/>
    <w:rsid w:val="00DC5FDA"/>
    <w:rsid w:val="00DC67AF"/>
    <w:rsid w:val="00DC78FF"/>
    <w:rsid w:val="00DD2EF0"/>
    <w:rsid w:val="00DD5C51"/>
    <w:rsid w:val="00DD5D9C"/>
    <w:rsid w:val="00DD673D"/>
    <w:rsid w:val="00DD6F60"/>
    <w:rsid w:val="00DD72C9"/>
    <w:rsid w:val="00DE073F"/>
    <w:rsid w:val="00DE3340"/>
    <w:rsid w:val="00DE4738"/>
    <w:rsid w:val="00DE504C"/>
    <w:rsid w:val="00DE5088"/>
    <w:rsid w:val="00DE5864"/>
    <w:rsid w:val="00DE5CF8"/>
    <w:rsid w:val="00DE6036"/>
    <w:rsid w:val="00DE7E0F"/>
    <w:rsid w:val="00DF05EA"/>
    <w:rsid w:val="00DF3E3D"/>
    <w:rsid w:val="00DF641D"/>
    <w:rsid w:val="00DF6DFD"/>
    <w:rsid w:val="00DF7AA2"/>
    <w:rsid w:val="00E0010D"/>
    <w:rsid w:val="00E00B42"/>
    <w:rsid w:val="00E014AB"/>
    <w:rsid w:val="00E0154C"/>
    <w:rsid w:val="00E01D71"/>
    <w:rsid w:val="00E03020"/>
    <w:rsid w:val="00E05744"/>
    <w:rsid w:val="00E069E7"/>
    <w:rsid w:val="00E0702C"/>
    <w:rsid w:val="00E114B5"/>
    <w:rsid w:val="00E1161D"/>
    <w:rsid w:val="00E121F1"/>
    <w:rsid w:val="00E123B2"/>
    <w:rsid w:val="00E14939"/>
    <w:rsid w:val="00E15545"/>
    <w:rsid w:val="00E1569C"/>
    <w:rsid w:val="00E17B54"/>
    <w:rsid w:val="00E20142"/>
    <w:rsid w:val="00E214EE"/>
    <w:rsid w:val="00E238DD"/>
    <w:rsid w:val="00E23E0C"/>
    <w:rsid w:val="00E23EDF"/>
    <w:rsid w:val="00E2689D"/>
    <w:rsid w:val="00E268BB"/>
    <w:rsid w:val="00E26BC4"/>
    <w:rsid w:val="00E32C0C"/>
    <w:rsid w:val="00E36CEE"/>
    <w:rsid w:val="00E407FD"/>
    <w:rsid w:val="00E4099C"/>
    <w:rsid w:val="00E41A94"/>
    <w:rsid w:val="00E41FDA"/>
    <w:rsid w:val="00E425D0"/>
    <w:rsid w:val="00E42F51"/>
    <w:rsid w:val="00E437F7"/>
    <w:rsid w:val="00E459BB"/>
    <w:rsid w:val="00E51816"/>
    <w:rsid w:val="00E52212"/>
    <w:rsid w:val="00E52401"/>
    <w:rsid w:val="00E5289F"/>
    <w:rsid w:val="00E533A1"/>
    <w:rsid w:val="00E53910"/>
    <w:rsid w:val="00E543BF"/>
    <w:rsid w:val="00E57012"/>
    <w:rsid w:val="00E57BC5"/>
    <w:rsid w:val="00E63E0D"/>
    <w:rsid w:val="00E65392"/>
    <w:rsid w:val="00E653BE"/>
    <w:rsid w:val="00E65A98"/>
    <w:rsid w:val="00E66584"/>
    <w:rsid w:val="00E6658B"/>
    <w:rsid w:val="00E6701A"/>
    <w:rsid w:val="00E70918"/>
    <w:rsid w:val="00E71C5A"/>
    <w:rsid w:val="00E71D92"/>
    <w:rsid w:val="00E7222B"/>
    <w:rsid w:val="00E74773"/>
    <w:rsid w:val="00E75F72"/>
    <w:rsid w:val="00E766B7"/>
    <w:rsid w:val="00E76B65"/>
    <w:rsid w:val="00E776C3"/>
    <w:rsid w:val="00E77BC3"/>
    <w:rsid w:val="00E81791"/>
    <w:rsid w:val="00E837DA"/>
    <w:rsid w:val="00E83AFD"/>
    <w:rsid w:val="00E83ED4"/>
    <w:rsid w:val="00E858CB"/>
    <w:rsid w:val="00E90579"/>
    <w:rsid w:val="00E92014"/>
    <w:rsid w:val="00E93F9C"/>
    <w:rsid w:val="00E94838"/>
    <w:rsid w:val="00E94C99"/>
    <w:rsid w:val="00E94DB6"/>
    <w:rsid w:val="00E95070"/>
    <w:rsid w:val="00E95545"/>
    <w:rsid w:val="00E97077"/>
    <w:rsid w:val="00EA2989"/>
    <w:rsid w:val="00EA6C79"/>
    <w:rsid w:val="00EB3DC4"/>
    <w:rsid w:val="00EB6DFA"/>
    <w:rsid w:val="00EB7114"/>
    <w:rsid w:val="00EB7C81"/>
    <w:rsid w:val="00EC023C"/>
    <w:rsid w:val="00EC072B"/>
    <w:rsid w:val="00EC0E27"/>
    <w:rsid w:val="00EC0ED1"/>
    <w:rsid w:val="00EC2AFB"/>
    <w:rsid w:val="00EC3255"/>
    <w:rsid w:val="00EC4C50"/>
    <w:rsid w:val="00EC6D99"/>
    <w:rsid w:val="00EC7A8A"/>
    <w:rsid w:val="00ED0D46"/>
    <w:rsid w:val="00ED5D94"/>
    <w:rsid w:val="00ED7235"/>
    <w:rsid w:val="00EE142C"/>
    <w:rsid w:val="00EE25C3"/>
    <w:rsid w:val="00EE26BB"/>
    <w:rsid w:val="00EE26D7"/>
    <w:rsid w:val="00EE2948"/>
    <w:rsid w:val="00EE2E1A"/>
    <w:rsid w:val="00EE5228"/>
    <w:rsid w:val="00EE7F4D"/>
    <w:rsid w:val="00EF0290"/>
    <w:rsid w:val="00EF11BF"/>
    <w:rsid w:val="00EF2F55"/>
    <w:rsid w:val="00EF4BD8"/>
    <w:rsid w:val="00EF5233"/>
    <w:rsid w:val="00EF56B4"/>
    <w:rsid w:val="00EF64B1"/>
    <w:rsid w:val="00EF6D74"/>
    <w:rsid w:val="00F00CB7"/>
    <w:rsid w:val="00F00D2E"/>
    <w:rsid w:val="00F019CA"/>
    <w:rsid w:val="00F0223C"/>
    <w:rsid w:val="00F0362A"/>
    <w:rsid w:val="00F1484E"/>
    <w:rsid w:val="00F15E57"/>
    <w:rsid w:val="00F16271"/>
    <w:rsid w:val="00F1655E"/>
    <w:rsid w:val="00F206F1"/>
    <w:rsid w:val="00F20C71"/>
    <w:rsid w:val="00F22AE5"/>
    <w:rsid w:val="00F2468B"/>
    <w:rsid w:val="00F250F8"/>
    <w:rsid w:val="00F27F4B"/>
    <w:rsid w:val="00F31899"/>
    <w:rsid w:val="00F321E8"/>
    <w:rsid w:val="00F3286B"/>
    <w:rsid w:val="00F3412F"/>
    <w:rsid w:val="00F3562D"/>
    <w:rsid w:val="00F415BC"/>
    <w:rsid w:val="00F43E8B"/>
    <w:rsid w:val="00F47366"/>
    <w:rsid w:val="00F47F85"/>
    <w:rsid w:val="00F50357"/>
    <w:rsid w:val="00F53556"/>
    <w:rsid w:val="00F53FDA"/>
    <w:rsid w:val="00F54E67"/>
    <w:rsid w:val="00F5579D"/>
    <w:rsid w:val="00F55B4A"/>
    <w:rsid w:val="00F5620A"/>
    <w:rsid w:val="00F61338"/>
    <w:rsid w:val="00F626E2"/>
    <w:rsid w:val="00F62838"/>
    <w:rsid w:val="00F62BE9"/>
    <w:rsid w:val="00F64DF6"/>
    <w:rsid w:val="00F6567B"/>
    <w:rsid w:val="00F667B8"/>
    <w:rsid w:val="00F67165"/>
    <w:rsid w:val="00F67AC7"/>
    <w:rsid w:val="00F67B50"/>
    <w:rsid w:val="00F67C12"/>
    <w:rsid w:val="00F72F68"/>
    <w:rsid w:val="00F733F5"/>
    <w:rsid w:val="00F75690"/>
    <w:rsid w:val="00F762FF"/>
    <w:rsid w:val="00F76309"/>
    <w:rsid w:val="00F76B0B"/>
    <w:rsid w:val="00F77534"/>
    <w:rsid w:val="00F80160"/>
    <w:rsid w:val="00F80374"/>
    <w:rsid w:val="00F811FF"/>
    <w:rsid w:val="00F82490"/>
    <w:rsid w:val="00F83CCC"/>
    <w:rsid w:val="00F847A3"/>
    <w:rsid w:val="00F864A6"/>
    <w:rsid w:val="00F86C2C"/>
    <w:rsid w:val="00F921B5"/>
    <w:rsid w:val="00F93046"/>
    <w:rsid w:val="00F941A9"/>
    <w:rsid w:val="00F95CAF"/>
    <w:rsid w:val="00F95DD7"/>
    <w:rsid w:val="00FA0618"/>
    <w:rsid w:val="00FA1072"/>
    <w:rsid w:val="00FA29BF"/>
    <w:rsid w:val="00FA6964"/>
    <w:rsid w:val="00FA7990"/>
    <w:rsid w:val="00FB138E"/>
    <w:rsid w:val="00FB37D7"/>
    <w:rsid w:val="00FB3801"/>
    <w:rsid w:val="00FC03B4"/>
    <w:rsid w:val="00FC0583"/>
    <w:rsid w:val="00FC094E"/>
    <w:rsid w:val="00FC1765"/>
    <w:rsid w:val="00FC227F"/>
    <w:rsid w:val="00FC3379"/>
    <w:rsid w:val="00FC370B"/>
    <w:rsid w:val="00FC3E58"/>
    <w:rsid w:val="00FC4085"/>
    <w:rsid w:val="00FC41FB"/>
    <w:rsid w:val="00FC4847"/>
    <w:rsid w:val="00FC496C"/>
    <w:rsid w:val="00FC49E6"/>
    <w:rsid w:val="00FC562C"/>
    <w:rsid w:val="00FC5E40"/>
    <w:rsid w:val="00FC60AE"/>
    <w:rsid w:val="00FC6619"/>
    <w:rsid w:val="00FC7588"/>
    <w:rsid w:val="00FD17A1"/>
    <w:rsid w:val="00FD1F52"/>
    <w:rsid w:val="00FD31D4"/>
    <w:rsid w:val="00FD41C3"/>
    <w:rsid w:val="00FD64D1"/>
    <w:rsid w:val="00FD72BA"/>
    <w:rsid w:val="00FD7BB3"/>
    <w:rsid w:val="00FE09D5"/>
    <w:rsid w:val="00FE187A"/>
    <w:rsid w:val="00FE28C5"/>
    <w:rsid w:val="00FE34C9"/>
    <w:rsid w:val="00FE6418"/>
    <w:rsid w:val="00FE74D4"/>
    <w:rsid w:val="00FF10B4"/>
    <w:rsid w:val="00FF16ED"/>
    <w:rsid w:val="00FF1A86"/>
    <w:rsid w:val="00FF318B"/>
    <w:rsid w:val="00FF3EFB"/>
    <w:rsid w:val="00FF4290"/>
    <w:rsid w:val="00FF5175"/>
    <w:rsid w:val="00FF579C"/>
    <w:rsid w:val="00FF630E"/>
    <w:rsid w:val="00FF6940"/>
    <w:rsid w:val="00FF72A1"/>
    <w:rsid w:val="00FF7A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57D91D"/>
  <w15:docId w15:val="{91BC103D-3859-4305-9D12-02D38347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9D5"/>
  </w:style>
  <w:style w:type="paragraph" w:styleId="Heading1">
    <w:name w:val="heading 1"/>
    <w:basedOn w:val="Normal"/>
    <w:next w:val="Normal"/>
    <w:link w:val="Heading1Char"/>
    <w:uiPriority w:val="99"/>
    <w:qFormat/>
    <w:rsid w:val="00990CCD"/>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0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376"/>
    <w:rPr>
      <w:rFonts w:ascii="Tahoma" w:hAnsi="Tahoma" w:cs="Tahoma"/>
      <w:sz w:val="16"/>
      <w:szCs w:val="16"/>
    </w:rPr>
  </w:style>
  <w:style w:type="character" w:customStyle="1" w:styleId="A1">
    <w:name w:val="A1"/>
    <w:uiPriority w:val="99"/>
    <w:rsid w:val="0088444A"/>
    <w:rPr>
      <w:rFonts w:cs="Verdana"/>
      <w:b/>
      <w:bCs/>
      <w:color w:val="221E1F"/>
      <w:sz w:val="16"/>
      <w:szCs w:val="16"/>
    </w:rPr>
  </w:style>
  <w:style w:type="paragraph" w:styleId="Header">
    <w:name w:val="header"/>
    <w:basedOn w:val="Normal"/>
    <w:link w:val="HeaderChar"/>
    <w:uiPriority w:val="99"/>
    <w:unhideWhenUsed/>
    <w:rsid w:val="008F6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54B"/>
  </w:style>
  <w:style w:type="paragraph" w:styleId="Footer">
    <w:name w:val="footer"/>
    <w:basedOn w:val="Normal"/>
    <w:link w:val="FooterChar"/>
    <w:uiPriority w:val="99"/>
    <w:unhideWhenUsed/>
    <w:rsid w:val="008F6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54B"/>
  </w:style>
  <w:style w:type="paragraph" w:customStyle="1" w:styleId="Default">
    <w:name w:val="Default"/>
    <w:rsid w:val="008F654B"/>
    <w:pPr>
      <w:autoSpaceDE w:val="0"/>
      <w:autoSpaceDN w:val="0"/>
      <w:adjustRightInd w:val="0"/>
      <w:spacing w:after="0" w:line="240" w:lineRule="auto"/>
    </w:pPr>
    <w:rPr>
      <w:rFonts w:ascii="Verdana" w:hAnsi="Verdana" w:cs="Verdana"/>
      <w:color w:val="000000"/>
      <w:sz w:val="24"/>
      <w:szCs w:val="24"/>
    </w:rPr>
  </w:style>
  <w:style w:type="character" w:customStyle="1" w:styleId="A0">
    <w:name w:val="A0"/>
    <w:uiPriority w:val="99"/>
    <w:rsid w:val="008F654B"/>
    <w:rPr>
      <w:rFonts w:cs="Verdana"/>
      <w:b/>
      <w:bCs/>
      <w:color w:val="221E1F"/>
      <w:sz w:val="28"/>
      <w:szCs w:val="28"/>
    </w:rPr>
  </w:style>
  <w:style w:type="paragraph" w:styleId="ListParagraph">
    <w:name w:val="List Paragraph"/>
    <w:basedOn w:val="Normal"/>
    <w:uiPriority w:val="34"/>
    <w:qFormat/>
    <w:rsid w:val="008F7B75"/>
    <w:pPr>
      <w:ind w:left="720"/>
      <w:contextualSpacing/>
    </w:pPr>
  </w:style>
  <w:style w:type="paragraph" w:customStyle="1" w:styleId="Pa2">
    <w:name w:val="Pa2"/>
    <w:basedOn w:val="Default"/>
    <w:next w:val="Default"/>
    <w:uiPriority w:val="99"/>
    <w:rsid w:val="00252990"/>
    <w:pPr>
      <w:spacing w:line="181" w:lineRule="atLeast"/>
    </w:pPr>
    <w:rPr>
      <w:rFonts w:cstheme="minorBidi"/>
      <w:color w:val="auto"/>
    </w:rPr>
  </w:style>
  <w:style w:type="paragraph" w:customStyle="1" w:styleId="Pa13">
    <w:name w:val="Pa13"/>
    <w:basedOn w:val="Default"/>
    <w:next w:val="Default"/>
    <w:uiPriority w:val="99"/>
    <w:rsid w:val="005C638F"/>
    <w:pPr>
      <w:spacing w:line="181" w:lineRule="atLeast"/>
    </w:pPr>
    <w:rPr>
      <w:rFonts w:cstheme="minorBidi"/>
      <w:color w:val="auto"/>
    </w:rPr>
  </w:style>
  <w:style w:type="paragraph" w:customStyle="1" w:styleId="Pa8">
    <w:name w:val="Pa8"/>
    <w:basedOn w:val="Default"/>
    <w:next w:val="Default"/>
    <w:uiPriority w:val="99"/>
    <w:rsid w:val="00505D05"/>
    <w:pPr>
      <w:spacing w:line="181" w:lineRule="atLeast"/>
    </w:pPr>
    <w:rPr>
      <w:rFonts w:cstheme="minorBidi"/>
      <w:color w:val="auto"/>
    </w:rPr>
  </w:style>
  <w:style w:type="character" w:customStyle="1" w:styleId="A5">
    <w:name w:val="A5"/>
    <w:uiPriority w:val="99"/>
    <w:rsid w:val="003A3FE5"/>
    <w:rPr>
      <w:rFonts w:cs="Verdana"/>
      <w:color w:val="949698"/>
      <w:sz w:val="14"/>
      <w:szCs w:val="14"/>
    </w:rPr>
  </w:style>
  <w:style w:type="table" w:styleId="TableGrid">
    <w:name w:val="Table Grid"/>
    <w:basedOn w:val="TableNormal"/>
    <w:uiPriority w:val="59"/>
    <w:rsid w:val="00AA1258"/>
    <w:pPr>
      <w:spacing w:after="0" w:line="240" w:lineRule="auto"/>
    </w:pPr>
    <w:rPr>
      <w:rFonts w:ascii="Calibri" w:eastAsia="Calibri" w:hAnsi="Calibri" w:cs="Times New Roman"/>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99575F"/>
    <w:pPr>
      <w:spacing w:line="141" w:lineRule="atLeast"/>
    </w:pPr>
    <w:rPr>
      <w:rFonts w:cstheme="minorBidi"/>
      <w:color w:val="auto"/>
    </w:rPr>
  </w:style>
  <w:style w:type="paragraph" w:customStyle="1" w:styleId="Pa10">
    <w:name w:val="Pa10"/>
    <w:basedOn w:val="Default"/>
    <w:next w:val="Default"/>
    <w:uiPriority w:val="99"/>
    <w:rsid w:val="0099575F"/>
    <w:pPr>
      <w:spacing w:line="181" w:lineRule="atLeast"/>
    </w:pPr>
    <w:rPr>
      <w:rFonts w:cstheme="minorBidi"/>
      <w:color w:val="auto"/>
    </w:rPr>
  </w:style>
  <w:style w:type="character" w:styleId="CommentReference">
    <w:name w:val="annotation reference"/>
    <w:basedOn w:val="DefaultParagraphFont"/>
    <w:uiPriority w:val="99"/>
    <w:semiHidden/>
    <w:unhideWhenUsed/>
    <w:rsid w:val="00543E4D"/>
    <w:rPr>
      <w:sz w:val="16"/>
      <w:szCs w:val="16"/>
    </w:rPr>
  </w:style>
  <w:style w:type="paragraph" w:styleId="CommentText">
    <w:name w:val="annotation text"/>
    <w:aliases w:val="Char4,Char1, Char4"/>
    <w:basedOn w:val="Normal"/>
    <w:link w:val="CommentTextChar"/>
    <w:uiPriority w:val="99"/>
    <w:unhideWhenUsed/>
    <w:rsid w:val="00543E4D"/>
    <w:pPr>
      <w:spacing w:line="240" w:lineRule="auto"/>
    </w:pPr>
    <w:rPr>
      <w:sz w:val="20"/>
      <w:szCs w:val="20"/>
    </w:rPr>
  </w:style>
  <w:style w:type="character" w:customStyle="1" w:styleId="CommentTextChar">
    <w:name w:val="Comment Text Char"/>
    <w:aliases w:val="Char4 Char,Char1 Char, Char4 Char"/>
    <w:basedOn w:val="DefaultParagraphFont"/>
    <w:link w:val="CommentText"/>
    <w:uiPriority w:val="99"/>
    <w:rsid w:val="00543E4D"/>
    <w:rPr>
      <w:sz w:val="20"/>
      <w:szCs w:val="20"/>
    </w:rPr>
  </w:style>
  <w:style w:type="paragraph" w:styleId="CommentSubject">
    <w:name w:val="annotation subject"/>
    <w:basedOn w:val="CommentText"/>
    <w:next w:val="CommentText"/>
    <w:link w:val="CommentSubjectChar"/>
    <w:uiPriority w:val="99"/>
    <w:semiHidden/>
    <w:unhideWhenUsed/>
    <w:rsid w:val="00543E4D"/>
    <w:rPr>
      <w:b/>
      <w:bCs/>
    </w:rPr>
  </w:style>
  <w:style w:type="character" w:customStyle="1" w:styleId="CommentSubjectChar">
    <w:name w:val="Comment Subject Char"/>
    <w:basedOn w:val="CommentTextChar"/>
    <w:link w:val="CommentSubject"/>
    <w:uiPriority w:val="99"/>
    <w:semiHidden/>
    <w:rsid w:val="00543E4D"/>
    <w:rPr>
      <w:b/>
      <w:bCs/>
      <w:sz w:val="20"/>
      <w:szCs w:val="20"/>
    </w:rPr>
  </w:style>
  <w:style w:type="paragraph" w:customStyle="1" w:styleId="EndNoteBibliography">
    <w:name w:val="EndNote Bibliography"/>
    <w:basedOn w:val="Normal"/>
    <w:link w:val="EndNoteBibliographyChar"/>
    <w:rsid w:val="001B624B"/>
    <w:pPr>
      <w:spacing w:line="240" w:lineRule="auto"/>
    </w:pPr>
    <w:rPr>
      <w:rFonts w:ascii="Calibri" w:eastAsia="Calibri" w:hAnsi="Calibri" w:cs="Times New Roman"/>
      <w:noProof/>
      <w:lang w:val="en-US"/>
    </w:rPr>
  </w:style>
  <w:style w:type="character" w:customStyle="1" w:styleId="EndNoteBibliographyChar">
    <w:name w:val="EndNote Bibliography Char"/>
    <w:basedOn w:val="DefaultParagraphFont"/>
    <w:link w:val="EndNoteBibliography"/>
    <w:rsid w:val="001B624B"/>
    <w:rPr>
      <w:rFonts w:ascii="Calibri" w:eastAsia="Calibri" w:hAnsi="Calibri" w:cs="Times New Roman"/>
      <w:noProof/>
      <w:lang w:val="en-US"/>
    </w:rPr>
  </w:style>
  <w:style w:type="paragraph" w:customStyle="1" w:styleId="Pa9">
    <w:name w:val="Pa9"/>
    <w:basedOn w:val="Default"/>
    <w:next w:val="Default"/>
    <w:uiPriority w:val="99"/>
    <w:rsid w:val="002D51A6"/>
    <w:pPr>
      <w:spacing w:line="181" w:lineRule="atLeast"/>
    </w:pPr>
    <w:rPr>
      <w:rFonts w:cstheme="minorBidi"/>
      <w:color w:val="auto"/>
    </w:rPr>
  </w:style>
  <w:style w:type="character" w:customStyle="1" w:styleId="A3">
    <w:name w:val="A3"/>
    <w:uiPriority w:val="99"/>
    <w:rsid w:val="002D51A6"/>
    <w:rPr>
      <w:rFonts w:cs="Verdana"/>
      <w:color w:val="221E1F"/>
      <w:sz w:val="16"/>
      <w:szCs w:val="16"/>
    </w:rPr>
  </w:style>
  <w:style w:type="character" w:customStyle="1" w:styleId="A6">
    <w:name w:val="A6"/>
    <w:uiPriority w:val="99"/>
    <w:rsid w:val="002D51A6"/>
    <w:rPr>
      <w:rFonts w:cs="Verdana"/>
      <w:color w:val="221E1F"/>
      <w:sz w:val="9"/>
      <w:szCs w:val="9"/>
    </w:rPr>
  </w:style>
  <w:style w:type="paragraph" w:customStyle="1" w:styleId="desc2">
    <w:name w:val="desc2"/>
    <w:basedOn w:val="Normal"/>
    <w:rsid w:val="00BA76A0"/>
    <w:pPr>
      <w:spacing w:after="0" w:line="240" w:lineRule="auto"/>
    </w:pPr>
    <w:rPr>
      <w:rFonts w:ascii="Times New Roman" w:eastAsia="Times New Roman" w:hAnsi="Times New Roman" w:cs="Times New Roman"/>
      <w:sz w:val="26"/>
      <w:szCs w:val="26"/>
      <w:lang w:val="en-US"/>
    </w:rPr>
  </w:style>
  <w:style w:type="character" w:styleId="Hyperlink">
    <w:name w:val="Hyperlink"/>
    <w:basedOn w:val="DefaultParagraphFont"/>
    <w:uiPriority w:val="99"/>
    <w:unhideWhenUsed/>
    <w:rsid w:val="00A17C96"/>
    <w:rPr>
      <w:color w:val="0000FF" w:themeColor="hyperlink"/>
      <w:u w:val="single"/>
    </w:rPr>
  </w:style>
  <w:style w:type="numbering" w:customStyle="1" w:styleId="Lettered">
    <w:name w:val="Lettered"/>
    <w:rsid w:val="00F27F4B"/>
    <w:pPr>
      <w:numPr>
        <w:numId w:val="1"/>
      </w:numPr>
    </w:pPr>
  </w:style>
  <w:style w:type="paragraph" w:customStyle="1" w:styleId="Pa23">
    <w:name w:val="Pa23"/>
    <w:basedOn w:val="Default"/>
    <w:next w:val="Default"/>
    <w:uiPriority w:val="99"/>
    <w:rsid w:val="002500DC"/>
    <w:pPr>
      <w:spacing w:line="181" w:lineRule="atLeast"/>
    </w:pPr>
    <w:rPr>
      <w:rFonts w:cstheme="minorBidi"/>
      <w:color w:val="auto"/>
    </w:rPr>
  </w:style>
  <w:style w:type="character" w:customStyle="1" w:styleId="Heading1Char">
    <w:name w:val="Heading 1 Char"/>
    <w:basedOn w:val="DefaultParagraphFont"/>
    <w:link w:val="Heading1"/>
    <w:uiPriority w:val="99"/>
    <w:rsid w:val="00990CCD"/>
    <w:rPr>
      <w:rFonts w:ascii="Cambria" w:eastAsia="Times New Roman" w:hAnsi="Cambria" w:cs="Times New Roman"/>
      <w:b/>
      <w:bCs/>
      <w:color w:val="365F91"/>
      <w:sz w:val="28"/>
      <w:szCs w:val="28"/>
    </w:rPr>
  </w:style>
  <w:style w:type="paragraph" w:customStyle="1" w:styleId="References">
    <w:name w:val="References"/>
    <w:basedOn w:val="Normal"/>
    <w:link w:val="ReferencesChar"/>
    <w:rsid w:val="008B69BC"/>
    <w:pPr>
      <w:spacing w:after="0" w:line="240" w:lineRule="auto"/>
      <w:ind w:left="446" w:hanging="446"/>
    </w:pPr>
    <w:rPr>
      <w:rFonts w:ascii="Arial" w:eastAsia="Times New Roman" w:hAnsi="Arial" w:cs="Times New Roman"/>
      <w:szCs w:val="20"/>
      <w:lang w:val="en-US"/>
    </w:rPr>
  </w:style>
  <w:style w:type="character" w:customStyle="1" w:styleId="ReferencesChar">
    <w:name w:val="References Char"/>
    <w:link w:val="References"/>
    <w:rsid w:val="008B69BC"/>
    <w:rPr>
      <w:rFonts w:ascii="Arial" w:eastAsia="Times New Roman" w:hAnsi="Arial" w:cs="Times New Roman"/>
      <w:szCs w:val="20"/>
      <w:lang w:val="en-US"/>
    </w:rPr>
  </w:style>
  <w:style w:type="paragraph" w:customStyle="1" w:styleId="NPSTD">
    <w:name w:val="NP STD"/>
    <w:basedOn w:val="Normal"/>
    <w:uiPriority w:val="99"/>
    <w:rsid w:val="00EC4C50"/>
    <w:pPr>
      <w:spacing w:after="240" w:line="240" w:lineRule="auto"/>
    </w:pPr>
    <w:rPr>
      <w:rFonts w:ascii="Verdana" w:eastAsia="Times New Roman" w:hAnsi="Verdana" w:cs="Times New Roman"/>
      <w:b/>
      <w:sz w:val="20"/>
      <w:szCs w:val="20"/>
    </w:rPr>
  </w:style>
  <w:style w:type="table" w:customStyle="1" w:styleId="TableGrid1">
    <w:name w:val="Table Grid1"/>
    <w:basedOn w:val="TableNormal"/>
    <w:next w:val="TableGrid"/>
    <w:uiPriority w:val="59"/>
    <w:locked/>
    <w:rsid w:val="00F801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F801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21F3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5040">
      <w:bodyDiv w:val="1"/>
      <w:marLeft w:val="0"/>
      <w:marRight w:val="0"/>
      <w:marTop w:val="0"/>
      <w:marBottom w:val="0"/>
      <w:divBdr>
        <w:top w:val="none" w:sz="0" w:space="0" w:color="auto"/>
        <w:left w:val="none" w:sz="0" w:space="0" w:color="auto"/>
        <w:bottom w:val="none" w:sz="0" w:space="0" w:color="auto"/>
        <w:right w:val="none" w:sz="0" w:space="0" w:color="auto"/>
      </w:divBdr>
    </w:div>
    <w:div w:id="50888089">
      <w:bodyDiv w:val="1"/>
      <w:marLeft w:val="0"/>
      <w:marRight w:val="0"/>
      <w:marTop w:val="0"/>
      <w:marBottom w:val="0"/>
      <w:divBdr>
        <w:top w:val="none" w:sz="0" w:space="0" w:color="auto"/>
        <w:left w:val="none" w:sz="0" w:space="0" w:color="auto"/>
        <w:bottom w:val="none" w:sz="0" w:space="0" w:color="auto"/>
        <w:right w:val="none" w:sz="0" w:space="0" w:color="auto"/>
      </w:divBdr>
    </w:div>
    <w:div w:id="65885881">
      <w:bodyDiv w:val="1"/>
      <w:marLeft w:val="0"/>
      <w:marRight w:val="0"/>
      <w:marTop w:val="0"/>
      <w:marBottom w:val="0"/>
      <w:divBdr>
        <w:top w:val="none" w:sz="0" w:space="0" w:color="auto"/>
        <w:left w:val="none" w:sz="0" w:space="0" w:color="auto"/>
        <w:bottom w:val="none" w:sz="0" w:space="0" w:color="auto"/>
        <w:right w:val="none" w:sz="0" w:space="0" w:color="auto"/>
      </w:divBdr>
    </w:div>
    <w:div w:id="115487516">
      <w:bodyDiv w:val="1"/>
      <w:marLeft w:val="0"/>
      <w:marRight w:val="0"/>
      <w:marTop w:val="0"/>
      <w:marBottom w:val="0"/>
      <w:divBdr>
        <w:top w:val="none" w:sz="0" w:space="0" w:color="auto"/>
        <w:left w:val="none" w:sz="0" w:space="0" w:color="auto"/>
        <w:bottom w:val="none" w:sz="0" w:space="0" w:color="auto"/>
        <w:right w:val="none" w:sz="0" w:space="0" w:color="auto"/>
      </w:divBdr>
    </w:div>
    <w:div w:id="121578402">
      <w:bodyDiv w:val="1"/>
      <w:marLeft w:val="0"/>
      <w:marRight w:val="0"/>
      <w:marTop w:val="0"/>
      <w:marBottom w:val="0"/>
      <w:divBdr>
        <w:top w:val="none" w:sz="0" w:space="0" w:color="auto"/>
        <w:left w:val="none" w:sz="0" w:space="0" w:color="auto"/>
        <w:bottom w:val="none" w:sz="0" w:space="0" w:color="auto"/>
        <w:right w:val="none" w:sz="0" w:space="0" w:color="auto"/>
      </w:divBdr>
    </w:div>
    <w:div w:id="156382403">
      <w:bodyDiv w:val="1"/>
      <w:marLeft w:val="0"/>
      <w:marRight w:val="0"/>
      <w:marTop w:val="0"/>
      <w:marBottom w:val="0"/>
      <w:divBdr>
        <w:top w:val="none" w:sz="0" w:space="0" w:color="auto"/>
        <w:left w:val="none" w:sz="0" w:space="0" w:color="auto"/>
        <w:bottom w:val="none" w:sz="0" w:space="0" w:color="auto"/>
        <w:right w:val="none" w:sz="0" w:space="0" w:color="auto"/>
      </w:divBdr>
    </w:div>
    <w:div w:id="181745928">
      <w:bodyDiv w:val="1"/>
      <w:marLeft w:val="0"/>
      <w:marRight w:val="0"/>
      <w:marTop w:val="0"/>
      <w:marBottom w:val="0"/>
      <w:divBdr>
        <w:top w:val="none" w:sz="0" w:space="0" w:color="auto"/>
        <w:left w:val="none" w:sz="0" w:space="0" w:color="auto"/>
        <w:bottom w:val="none" w:sz="0" w:space="0" w:color="auto"/>
        <w:right w:val="none" w:sz="0" w:space="0" w:color="auto"/>
      </w:divBdr>
    </w:div>
    <w:div w:id="185287527">
      <w:bodyDiv w:val="1"/>
      <w:marLeft w:val="0"/>
      <w:marRight w:val="0"/>
      <w:marTop w:val="0"/>
      <w:marBottom w:val="0"/>
      <w:divBdr>
        <w:top w:val="none" w:sz="0" w:space="0" w:color="auto"/>
        <w:left w:val="none" w:sz="0" w:space="0" w:color="auto"/>
        <w:bottom w:val="none" w:sz="0" w:space="0" w:color="auto"/>
        <w:right w:val="none" w:sz="0" w:space="0" w:color="auto"/>
      </w:divBdr>
    </w:div>
    <w:div w:id="194194096">
      <w:bodyDiv w:val="1"/>
      <w:marLeft w:val="0"/>
      <w:marRight w:val="0"/>
      <w:marTop w:val="0"/>
      <w:marBottom w:val="0"/>
      <w:divBdr>
        <w:top w:val="none" w:sz="0" w:space="0" w:color="auto"/>
        <w:left w:val="none" w:sz="0" w:space="0" w:color="auto"/>
        <w:bottom w:val="none" w:sz="0" w:space="0" w:color="auto"/>
        <w:right w:val="none" w:sz="0" w:space="0" w:color="auto"/>
      </w:divBdr>
    </w:div>
    <w:div w:id="231157465">
      <w:bodyDiv w:val="1"/>
      <w:marLeft w:val="0"/>
      <w:marRight w:val="0"/>
      <w:marTop w:val="0"/>
      <w:marBottom w:val="0"/>
      <w:divBdr>
        <w:top w:val="none" w:sz="0" w:space="0" w:color="auto"/>
        <w:left w:val="none" w:sz="0" w:space="0" w:color="auto"/>
        <w:bottom w:val="none" w:sz="0" w:space="0" w:color="auto"/>
        <w:right w:val="none" w:sz="0" w:space="0" w:color="auto"/>
      </w:divBdr>
    </w:div>
    <w:div w:id="247036833">
      <w:bodyDiv w:val="1"/>
      <w:marLeft w:val="0"/>
      <w:marRight w:val="0"/>
      <w:marTop w:val="0"/>
      <w:marBottom w:val="0"/>
      <w:divBdr>
        <w:top w:val="none" w:sz="0" w:space="0" w:color="auto"/>
        <w:left w:val="none" w:sz="0" w:space="0" w:color="auto"/>
        <w:bottom w:val="none" w:sz="0" w:space="0" w:color="auto"/>
        <w:right w:val="none" w:sz="0" w:space="0" w:color="auto"/>
      </w:divBdr>
    </w:div>
    <w:div w:id="252515952">
      <w:bodyDiv w:val="1"/>
      <w:marLeft w:val="0"/>
      <w:marRight w:val="0"/>
      <w:marTop w:val="0"/>
      <w:marBottom w:val="0"/>
      <w:divBdr>
        <w:top w:val="none" w:sz="0" w:space="0" w:color="auto"/>
        <w:left w:val="none" w:sz="0" w:space="0" w:color="auto"/>
        <w:bottom w:val="none" w:sz="0" w:space="0" w:color="auto"/>
        <w:right w:val="none" w:sz="0" w:space="0" w:color="auto"/>
      </w:divBdr>
    </w:div>
    <w:div w:id="262617646">
      <w:bodyDiv w:val="1"/>
      <w:marLeft w:val="0"/>
      <w:marRight w:val="0"/>
      <w:marTop w:val="0"/>
      <w:marBottom w:val="0"/>
      <w:divBdr>
        <w:top w:val="none" w:sz="0" w:space="0" w:color="auto"/>
        <w:left w:val="none" w:sz="0" w:space="0" w:color="auto"/>
        <w:bottom w:val="none" w:sz="0" w:space="0" w:color="auto"/>
        <w:right w:val="none" w:sz="0" w:space="0" w:color="auto"/>
      </w:divBdr>
    </w:div>
    <w:div w:id="273637367">
      <w:bodyDiv w:val="1"/>
      <w:marLeft w:val="0"/>
      <w:marRight w:val="0"/>
      <w:marTop w:val="0"/>
      <w:marBottom w:val="0"/>
      <w:divBdr>
        <w:top w:val="none" w:sz="0" w:space="0" w:color="auto"/>
        <w:left w:val="none" w:sz="0" w:space="0" w:color="auto"/>
        <w:bottom w:val="none" w:sz="0" w:space="0" w:color="auto"/>
        <w:right w:val="none" w:sz="0" w:space="0" w:color="auto"/>
      </w:divBdr>
    </w:div>
    <w:div w:id="286938503">
      <w:bodyDiv w:val="1"/>
      <w:marLeft w:val="0"/>
      <w:marRight w:val="0"/>
      <w:marTop w:val="0"/>
      <w:marBottom w:val="0"/>
      <w:divBdr>
        <w:top w:val="none" w:sz="0" w:space="0" w:color="auto"/>
        <w:left w:val="none" w:sz="0" w:space="0" w:color="auto"/>
        <w:bottom w:val="none" w:sz="0" w:space="0" w:color="auto"/>
        <w:right w:val="none" w:sz="0" w:space="0" w:color="auto"/>
      </w:divBdr>
    </w:div>
    <w:div w:id="326322778">
      <w:bodyDiv w:val="1"/>
      <w:marLeft w:val="0"/>
      <w:marRight w:val="0"/>
      <w:marTop w:val="0"/>
      <w:marBottom w:val="0"/>
      <w:divBdr>
        <w:top w:val="none" w:sz="0" w:space="0" w:color="auto"/>
        <w:left w:val="none" w:sz="0" w:space="0" w:color="auto"/>
        <w:bottom w:val="none" w:sz="0" w:space="0" w:color="auto"/>
        <w:right w:val="none" w:sz="0" w:space="0" w:color="auto"/>
      </w:divBdr>
    </w:div>
    <w:div w:id="340551054">
      <w:bodyDiv w:val="1"/>
      <w:marLeft w:val="0"/>
      <w:marRight w:val="0"/>
      <w:marTop w:val="0"/>
      <w:marBottom w:val="0"/>
      <w:divBdr>
        <w:top w:val="none" w:sz="0" w:space="0" w:color="auto"/>
        <w:left w:val="none" w:sz="0" w:space="0" w:color="auto"/>
        <w:bottom w:val="none" w:sz="0" w:space="0" w:color="auto"/>
        <w:right w:val="none" w:sz="0" w:space="0" w:color="auto"/>
      </w:divBdr>
    </w:div>
    <w:div w:id="350106248">
      <w:bodyDiv w:val="1"/>
      <w:marLeft w:val="0"/>
      <w:marRight w:val="0"/>
      <w:marTop w:val="0"/>
      <w:marBottom w:val="0"/>
      <w:divBdr>
        <w:top w:val="none" w:sz="0" w:space="0" w:color="auto"/>
        <w:left w:val="none" w:sz="0" w:space="0" w:color="auto"/>
        <w:bottom w:val="none" w:sz="0" w:space="0" w:color="auto"/>
        <w:right w:val="none" w:sz="0" w:space="0" w:color="auto"/>
      </w:divBdr>
    </w:div>
    <w:div w:id="363019608">
      <w:bodyDiv w:val="1"/>
      <w:marLeft w:val="0"/>
      <w:marRight w:val="0"/>
      <w:marTop w:val="0"/>
      <w:marBottom w:val="0"/>
      <w:divBdr>
        <w:top w:val="none" w:sz="0" w:space="0" w:color="auto"/>
        <w:left w:val="none" w:sz="0" w:space="0" w:color="auto"/>
        <w:bottom w:val="none" w:sz="0" w:space="0" w:color="auto"/>
        <w:right w:val="none" w:sz="0" w:space="0" w:color="auto"/>
      </w:divBdr>
    </w:div>
    <w:div w:id="364524711">
      <w:bodyDiv w:val="1"/>
      <w:marLeft w:val="0"/>
      <w:marRight w:val="0"/>
      <w:marTop w:val="0"/>
      <w:marBottom w:val="0"/>
      <w:divBdr>
        <w:top w:val="none" w:sz="0" w:space="0" w:color="auto"/>
        <w:left w:val="none" w:sz="0" w:space="0" w:color="auto"/>
        <w:bottom w:val="none" w:sz="0" w:space="0" w:color="auto"/>
        <w:right w:val="none" w:sz="0" w:space="0" w:color="auto"/>
      </w:divBdr>
    </w:div>
    <w:div w:id="367755236">
      <w:bodyDiv w:val="1"/>
      <w:marLeft w:val="0"/>
      <w:marRight w:val="0"/>
      <w:marTop w:val="0"/>
      <w:marBottom w:val="0"/>
      <w:divBdr>
        <w:top w:val="none" w:sz="0" w:space="0" w:color="auto"/>
        <w:left w:val="none" w:sz="0" w:space="0" w:color="auto"/>
        <w:bottom w:val="none" w:sz="0" w:space="0" w:color="auto"/>
        <w:right w:val="none" w:sz="0" w:space="0" w:color="auto"/>
      </w:divBdr>
    </w:div>
    <w:div w:id="370229664">
      <w:bodyDiv w:val="1"/>
      <w:marLeft w:val="0"/>
      <w:marRight w:val="0"/>
      <w:marTop w:val="0"/>
      <w:marBottom w:val="0"/>
      <w:divBdr>
        <w:top w:val="none" w:sz="0" w:space="0" w:color="auto"/>
        <w:left w:val="none" w:sz="0" w:space="0" w:color="auto"/>
        <w:bottom w:val="none" w:sz="0" w:space="0" w:color="auto"/>
        <w:right w:val="none" w:sz="0" w:space="0" w:color="auto"/>
      </w:divBdr>
    </w:div>
    <w:div w:id="387147079">
      <w:bodyDiv w:val="1"/>
      <w:marLeft w:val="0"/>
      <w:marRight w:val="0"/>
      <w:marTop w:val="0"/>
      <w:marBottom w:val="0"/>
      <w:divBdr>
        <w:top w:val="none" w:sz="0" w:space="0" w:color="auto"/>
        <w:left w:val="none" w:sz="0" w:space="0" w:color="auto"/>
        <w:bottom w:val="none" w:sz="0" w:space="0" w:color="auto"/>
        <w:right w:val="none" w:sz="0" w:space="0" w:color="auto"/>
      </w:divBdr>
    </w:div>
    <w:div w:id="420175331">
      <w:bodyDiv w:val="1"/>
      <w:marLeft w:val="0"/>
      <w:marRight w:val="0"/>
      <w:marTop w:val="0"/>
      <w:marBottom w:val="0"/>
      <w:divBdr>
        <w:top w:val="none" w:sz="0" w:space="0" w:color="auto"/>
        <w:left w:val="none" w:sz="0" w:space="0" w:color="auto"/>
        <w:bottom w:val="none" w:sz="0" w:space="0" w:color="auto"/>
        <w:right w:val="none" w:sz="0" w:space="0" w:color="auto"/>
      </w:divBdr>
    </w:div>
    <w:div w:id="444469708">
      <w:bodyDiv w:val="1"/>
      <w:marLeft w:val="0"/>
      <w:marRight w:val="0"/>
      <w:marTop w:val="0"/>
      <w:marBottom w:val="0"/>
      <w:divBdr>
        <w:top w:val="none" w:sz="0" w:space="0" w:color="auto"/>
        <w:left w:val="none" w:sz="0" w:space="0" w:color="auto"/>
        <w:bottom w:val="none" w:sz="0" w:space="0" w:color="auto"/>
        <w:right w:val="none" w:sz="0" w:space="0" w:color="auto"/>
      </w:divBdr>
    </w:div>
    <w:div w:id="457841915">
      <w:bodyDiv w:val="1"/>
      <w:marLeft w:val="0"/>
      <w:marRight w:val="0"/>
      <w:marTop w:val="0"/>
      <w:marBottom w:val="0"/>
      <w:divBdr>
        <w:top w:val="none" w:sz="0" w:space="0" w:color="auto"/>
        <w:left w:val="none" w:sz="0" w:space="0" w:color="auto"/>
        <w:bottom w:val="none" w:sz="0" w:space="0" w:color="auto"/>
        <w:right w:val="none" w:sz="0" w:space="0" w:color="auto"/>
      </w:divBdr>
    </w:div>
    <w:div w:id="480542450">
      <w:bodyDiv w:val="1"/>
      <w:marLeft w:val="0"/>
      <w:marRight w:val="0"/>
      <w:marTop w:val="0"/>
      <w:marBottom w:val="0"/>
      <w:divBdr>
        <w:top w:val="none" w:sz="0" w:space="0" w:color="auto"/>
        <w:left w:val="none" w:sz="0" w:space="0" w:color="auto"/>
        <w:bottom w:val="none" w:sz="0" w:space="0" w:color="auto"/>
        <w:right w:val="none" w:sz="0" w:space="0" w:color="auto"/>
      </w:divBdr>
    </w:div>
    <w:div w:id="495801442">
      <w:bodyDiv w:val="1"/>
      <w:marLeft w:val="0"/>
      <w:marRight w:val="0"/>
      <w:marTop w:val="0"/>
      <w:marBottom w:val="0"/>
      <w:divBdr>
        <w:top w:val="none" w:sz="0" w:space="0" w:color="auto"/>
        <w:left w:val="none" w:sz="0" w:space="0" w:color="auto"/>
        <w:bottom w:val="none" w:sz="0" w:space="0" w:color="auto"/>
        <w:right w:val="none" w:sz="0" w:space="0" w:color="auto"/>
      </w:divBdr>
    </w:div>
    <w:div w:id="566962493">
      <w:bodyDiv w:val="1"/>
      <w:marLeft w:val="0"/>
      <w:marRight w:val="0"/>
      <w:marTop w:val="0"/>
      <w:marBottom w:val="0"/>
      <w:divBdr>
        <w:top w:val="none" w:sz="0" w:space="0" w:color="auto"/>
        <w:left w:val="none" w:sz="0" w:space="0" w:color="auto"/>
        <w:bottom w:val="none" w:sz="0" w:space="0" w:color="auto"/>
        <w:right w:val="none" w:sz="0" w:space="0" w:color="auto"/>
      </w:divBdr>
    </w:div>
    <w:div w:id="571428222">
      <w:bodyDiv w:val="1"/>
      <w:marLeft w:val="0"/>
      <w:marRight w:val="0"/>
      <w:marTop w:val="0"/>
      <w:marBottom w:val="0"/>
      <w:divBdr>
        <w:top w:val="none" w:sz="0" w:space="0" w:color="auto"/>
        <w:left w:val="none" w:sz="0" w:space="0" w:color="auto"/>
        <w:bottom w:val="none" w:sz="0" w:space="0" w:color="auto"/>
        <w:right w:val="none" w:sz="0" w:space="0" w:color="auto"/>
      </w:divBdr>
    </w:div>
    <w:div w:id="574240257">
      <w:bodyDiv w:val="1"/>
      <w:marLeft w:val="0"/>
      <w:marRight w:val="0"/>
      <w:marTop w:val="0"/>
      <w:marBottom w:val="0"/>
      <w:divBdr>
        <w:top w:val="none" w:sz="0" w:space="0" w:color="auto"/>
        <w:left w:val="none" w:sz="0" w:space="0" w:color="auto"/>
        <w:bottom w:val="none" w:sz="0" w:space="0" w:color="auto"/>
        <w:right w:val="none" w:sz="0" w:space="0" w:color="auto"/>
      </w:divBdr>
    </w:div>
    <w:div w:id="646280444">
      <w:bodyDiv w:val="1"/>
      <w:marLeft w:val="0"/>
      <w:marRight w:val="0"/>
      <w:marTop w:val="0"/>
      <w:marBottom w:val="0"/>
      <w:divBdr>
        <w:top w:val="none" w:sz="0" w:space="0" w:color="auto"/>
        <w:left w:val="none" w:sz="0" w:space="0" w:color="auto"/>
        <w:bottom w:val="none" w:sz="0" w:space="0" w:color="auto"/>
        <w:right w:val="none" w:sz="0" w:space="0" w:color="auto"/>
      </w:divBdr>
    </w:div>
    <w:div w:id="658581664">
      <w:bodyDiv w:val="1"/>
      <w:marLeft w:val="0"/>
      <w:marRight w:val="0"/>
      <w:marTop w:val="0"/>
      <w:marBottom w:val="0"/>
      <w:divBdr>
        <w:top w:val="none" w:sz="0" w:space="0" w:color="auto"/>
        <w:left w:val="none" w:sz="0" w:space="0" w:color="auto"/>
        <w:bottom w:val="none" w:sz="0" w:space="0" w:color="auto"/>
        <w:right w:val="none" w:sz="0" w:space="0" w:color="auto"/>
      </w:divBdr>
    </w:div>
    <w:div w:id="829559636">
      <w:bodyDiv w:val="1"/>
      <w:marLeft w:val="0"/>
      <w:marRight w:val="0"/>
      <w:marTop w:val="0"/>
      <w:marBottom w:val="0"/>
      <w:divBdr>
        <w:top w:val="none" w:sz="0" w:space="0" w:color="auto"/>
        <w:left w:val="none" w:sz="0" w:space="0" w:color="auto"/>
        <w:bottom w:val="none" w:sz="0" w:space="0" w:color="auto"/>
        <w:right w:val="none" w:sz="0" w:space="0" w:color="auto"/>
      </w:divBdr>
    </w:div>
    <w:div w:id="834732594">
      <w:bodyDiv w:val="1"/>
      <w:marLeft w:val="0"/>
      <w:marRight w:val="0"/>
      <w:marTop w:val="0"/>
      <w:marBottom w:val="0"/>
      <w:divBdr>
        <w:top w:val="none" w:sz="0" w:space="0" w:color="auto"/>
        <w:left w:val="none" w:sz="0" w:space="0" w:color="auto"/>
        <w:bottom w:val="none" w:sz="0" w:space="0" w:color="auto"/>
        <w:right w:val="none" w:sz="0" w:space="0" w:color="auto"/>
      </w:divBdr>
    </w:div>
    <w:div w:id="866912928">
      <w:bodyDiv w:val="1"/>
      <w:marLeft w:val="0"/>
      <w:marRight w:val="0"/>
      <w:marTop w:val="0"/>
      <w:marBottom w:val="0"/>
      <w:divBdr>
        <w:top w:val="none" w:sz="0" w:space="0" w:color="auto"/>
        <w:left w:val="none" w:sz="0" w:space="0" w:color="auto"/>
        <w:bottom w:val="none" w:sz="0" w:space="0" w:color="auto"/>
        <w:right w:val="none" w:sz="0" w:space="0" w:color="auto"/>
      </w:divBdr>
    </w:div>
    <w:div w:id="869956237">
      <w:bodyDiv w:val="1"/>
      <w:marLeft w:val="0"/>
      <w:marRight w:val="0"/>
      <w:marTop w:val="0"/>
      <w:marBottom w:val="0"/>
      <w:divBdr>
        <w:top w:val="none" w:sz="0" w:space="0" w:color="auto"/>
        <w:left w:val="none" w:sz="0" w:space="0" w:color="auto"/>
        <w:bottom w:val="none" w:sz="0" w:space="0" w:color="auto"/>
        <w:right w:val="none" w:sz="0" w:space="0" w:color="auto"/>
      </w:divBdr>
    </w:div>
    <w:div w:id="888496812">
      <w:bodyDiv w:val="1"/>
      <w:marLeft w:val="0"/>
      <w:marRight w:val="0"/>
      <w:marTop w:val="0"/>
      <w:marBottom w:val="0"/>
      <w:divBdr>
        <w:top w:val="none" w:sz="0" w:space="0" w:color="auto"/>
        <w:left w:val="none" w:sz="0" w:space="0" w:color="auto"/>
        <w:bottom w:val="none" w:sz="0" w:space="0" w:color="auto"/>
        <w:right w:val="none" w:sz="0" w:space="0" w:color="auto"/>
      </w:divBdr>
    </w:div>
    <w:div w:id="898175094">
      <w:bodyDiv w:val="1"/>
      <w:marLeft w:val="0"/>
      <w:marRight w:val="0"/>
      <w:marTop w:val="0"/>
      <w:marBottom w:val="0"/>
      <w:divBdr>
        <w:top w:val="none" w:sz="0" w:space="0" w:color="auto"/>
        <w:left w:val="none" w:sz="0" w:space="0" w:color="auto"/>
        <w:bottom w:val="none" w:sz="0" w:space="0" w:color="auto"/>
        <w:right w:val="none" w:sz="0" w:space="0" w:color="auto"/>
      </w:divBdr>
    </w:div>
    <w:div w:id="912932112">
      <w:bodyDiv w:val="1"/>
      <w:marLeft w:val="0"/>
      <w:marRight w:val="0"/>
      <w:marTop w:val="0"/>
      <w:marBottom w:val="0"/>
      <w:divBdr>
        <w:top w:val="none" w:sz="0" w:space="0" w:color="auto"/>
        <w:left w:val="none" w:sz="0" w:space="0" w:color="auto"/>
        <w:bottom w:val="none" w:sz="0" w:space="0" w:color="auto"/>
        <w:right w:val="none" w:sz="0" w:space="0" w:color="auto"/>
      </w:divBdr>
    </w:div>
    <w:div w:id="914898114">
      <w:bodyDiv w:val="1"/>
      <w:marLeft w:val="0"/>
      <w:marRight w:val="0"/>
      <w:marTop w:val="0"/>
      <w:marBottom w:val="0"/>
      <w:divBdr>
        <w:top w:val="none" w:sz="0" w:space="0" w:color="auto"/>
        <w:left w:val="none" w:sz="0" w:space="0" w:color="auto"/>
        <w:bottom w:val="none" w:sz="0" w:space="0" w:color="auto"/>
        <w:right w:val="none" w:sz="0" w:space="0" w:color="auto"/>
      </w:divBdr>
    </w:div>
    <w:div w:id="953709592">
      <w:bodyDiv w:val="1"/>
      <w:marLeft w:val="0"/>
      <w:marRight w:val="0"/>
      <w:marTop w:val="0"/>
      <w:marBottom w:val="0"/>
      <w:divBdr>
        <w:top w:val="none" w:sz="0" w:space="0" w:color="auto"/>
        <w:left w:val="none" w:sz="0" w:space="0" w:color="auto"/>
        <w:bottom w:val="none" w:sz="0" w:space="0" w:color="auto"/>
        <w:right w:val="none" w:sz="0" w:space="0" w:color="auto"/>
      </w:divBdr>
    </w:div>
    <w:div w:id="958486978">
      <w:bodyDiv w:val="1"/>
      <w:marLeft w:val="0"/>
      <w:marRight w:val="0"/>
      <w:marTop w:val="0"/>
      <w:marBottom w:val="0"/>
      <w:divBdr>
        <w:top w:val="none" w:sz="0" w:space="0" w:color="auto"/>
        <w:left w:val="none" w:sz="0" w:space="0" w:color="auto"/>
        <w:bottom w:val="none" w:sz="0" w:space="0" w:color="auto"/>
        <w:right w:val="none" w:sz="0" w:space="0" w:color="auto"/>
      </w:divBdr>
    </w:div>
    <w:div w:id="958684834">
      <w:bodyDiv w:val="1"/>
      <w:marLeft w:val="0"/>
      <w:marRight w:val="0"/>
      <w:marTop w:val="0"/>
      <w:marBottom w:val="0"/>
      <w:divBdr>
        <w:top w:val="none" w:sz="0" w:space="0" w:color="auto"/>
        <w:left w:val="none" w:sz="0" w:space="0" w:color="auto"/>
        <w:bottom w:val="none" w:sz="0" w:space="0" w:color="auto"/>
        <w:right w:val="none" w:sz="0" w:space="0" w:color="auto"/>
      </w:divBdr>
    </w:div>
    <w:div w:id="961806345">
      <w:bodyDiv w:val="1"/>
      <w:marLeft w:val="0"/>
      <w:marRight w:val="0"/>
      <w:marTop w:val="0"/>
      <w:marBottom w:val="0"/>
      <w:divBdr>
        <w:top w:val="none" w:sz="0" w:space="0" w:color="auto"/>
        <w:left w:val="none" w:sz="0" w:space="0" w:color="auto"/>
        <w:bottom w:val="none" w:sz="0" w:space="0" w:color="auto"/>
        <w:right w:val="none" w:sz="0" w:space="0" w:color="auto"/>
      </w:divBdr>
    </w:div>
    <w:div w:id="972253683">
      <w:bodyDiv w:val="1"/>
      <w:marLeft w:val="0"/>
      <w:marRight w:val="0"/>
      <w:marTop w:val="0"/>
      <w:marBottom w:val="0"/>
      <w:divBdr>
        <w:top w:val="none" w:sz="0" w:space="0" w:color="auto"/>
        <w:left w:val="none" w:sz="0" w:space="0" w:color="auto"/>
        <w:bottom w:val="none" w:sz="0" w:space="0" w:color="auto"/>
        <w:right w:val="none" w:sz="0" w:space="0" w:color="auto"/>
      </w:divBdr>
    </w:div>
    <w:div w:id="1005209737">
      <w:bodyDiv w:val="1"/>
      <w:marLeft w:val="0"/>
      <w:marRight w:val="0"/>
      <w:marTop w:val="0"/>
      <w:marBottom w:val="0"/>
      <w:divBdr>
        <w:top w:val="none" w:sz="0" w:space="0" w:color="auto"/>
        <w:left w:val="none" w:sz="0" w:space="0" w:color="auto"/>
        <w:bottom w:val="none" w:sz="0" w:space="0" w:color="auto"/>
        <w:right w:val="none" w:sz="0" w:space="0" w:color="auto"/>
      </w:divBdr>
    </w:div>
    <w:div w:id="1012680270">
      <w:bodyDiv w:val="1"/>
      <w:marLeft w:val="0"/>
      <w:marRight w:val="0"/>
      <w:marTop w:val="0"/>
      <w:marBottom w:val="0"/>
      <w:divBdr>
        <w:top w:val="none" w:sz="0" w:space="0" w:color="auto"/>
        <w:left w:val="none" w:sz="0" w:space="0" w:color="auto"/>
        <w:bottom w:val="none" w:sz="0" w:space="0" w:color="auto"/>
        <w:right w:val="none" w:sz="0" w:space="0" w:color="auto"/>
      </w:divBdr>
    </w:div>
    <w:div w:id="1017273925">
      <w:bodyDiv w:val="1"/>
      <w:marLeft w:val="0"/>
      <w:marRight w:val="0"/>
      <w:marTop w:val="0"/>
      <w:marBottom w:val="0"/>
      <w:divBdr>
        <w:top w:val="none" w:sz="0" w:space="0" w:color="auto"/>
        <w:left w:val="none" w:sz="0" w:space="0" w:color="auto"/>
        <w:bottom w:val="none" w:sz="0" w:space="0" w:color="auto"/>
        <w:right w:val="none" w:sz="0" w:space="0" w:color="auto"/>
      </w:divBdr>
    </w:div>
    <w:div w:id="1049375262">
      <w:bodyDiv w:val="1"/>
      <w:marLeft w:val="0"/>
      <w:marRight w:val="0"/>
      <w:marTop w:val="0"/>
      <w:marBottom w:val="0"/>
      <w:divBdr>
        <w:top w:val="none" w:sz="0" w:space="0" w:color="auto"/>
        <w:left w:val="none" w:sz="0" w:space="0" w:color="auto"/>
        <w:bottom w:val="none" w:sz="0" w:space="0" w:color="auto"/>
        <w:right w:val="none" w:sz="0" w:space="0" w:color="auto"/>
      </w:divBdr>
    </w:div>
    <w:div w:id="1137255896">
      <w:bodyDiv w:val="1"/>
      <w:marLeft w:val="0"/>
      <w:marRight w:val="0"/>
      <w:marTop w:val="0"/>
      <w:marBottom w:val="0"/>
      <w:divBdr>
        <w:top w:val="none" w:sz="0" w:space="0" w:color="auto"/>
        <w:left w:val="none" w:sz="0" w:space="0" w:color="auto"/>
        <w:bottom w:val="none" w:sz="0" w:space="0" w:color="auto"/>
        <w:right w:val="none" w:sz="0" w:space="0" w:color="auto"/>
      </w:divBdr>
    </w:div>
    <w:div w:id="1227304146">
      <w:bodyDiv w:val="1"/>
      <w:marLeft w:val="0"/>
      <w:marRight w:val="0"/>
      <w:marTop w:val="0"/>
      <w:marBottom w:val="0"/>
      <w:divBdr>
        <w:top w:val="none" w:sz="0" w:space="0" w:color="auto"/>
        <w:left w:val="none" w:sz="0" w:space="0" w:color="auto"/>
        <w:bottom w:val="none" w:sz="0" w:space="0" w:color="auto"/>
        <w:right w:val="none" w:sz="0" w:space="0" w:color="auto"/>
      </w:divBdr>
    </w:div>
    <w:div w:id="1229001790">
      <w:bodyDiv w:val="1"/>
      <w:marLeft w:val="0"/>
      <w:marRight w:val="0"/>
      <w:marTop w:val="0"/>
      <w:marBottom w:val="0"/>
      <w:divBdr>
        <w:top w:val="none" w:sz="0" w:space="0" w:color="auto"/>
        <w:left w:val="none" w:sz="0" w:space="0" w:color="auto"/>
        <w:bottom w:val="none" w:sz="0" w:space="0" w:color="auto"/>
        <w:right w:val="none" w:sz="0" w:space="0" w:color="auto"/>
      </w:divBdr>
    </w:div>
    <w:div w:id="1235385673">
      <w:bodyDiv w:val="1"/>
      <w:marLeft w:val="0"/>
      <w:marRight w:val="0"/>
      <w:marTop w:val="0"/>
      <w:marBottom w:val="0"/>
      <w:divBdr>
        <w:top w:val="none" w:sz="0" w:space="0" w:color="auto"/>
        <w:left w:val="none" w:sz="0" w:space="0" w:color="auto"/>
        <w:bottom w:val="none" w:sz="0" w:space="0" w:color="auto"/>
        <w:right w:val="none" w:sz="0" w:space="0" w:color="auto"/>
      </w:divBdr>
    </w:div>
    <w:div w:id="1251737642">
      <w:bodyDiv w:val="1"/>
      <w:marLeft w:val="0"/>
      <w:marRight w:val="0"/>
      <w:marTop w:val="0"/>
      <w:marBottom w:val="0"/>
      <w:divBdr>
        <w:top w:val="none" w:sz="0" w:space="0" w:color="auto"/>
        <w:left w:val="none" w:sz="0" w:space="0" w:color="auto"/>
        <w:bottom w:val="none" w:sz="0" w:space="0" w:color="auto"/>
        <w:right w:val="none" w:sz="0" w:space="0" w:color="auto"/>
      </w:divBdr>
    </w:div>
    <w:div w:id="1253588273">
      <w:bodyDiv w:val="1"/>
      <w:marLeft w:val="0"/>
      <w:marRight w:val="0"/>
      <w:marTop w:val="0"/>
      <w:marBottom w:val="0"/>
      <w:divBdr>
        <w:top w:val="none" w:sz="0" w:space="0" w:color="auto"/>
        <w:left w:val="none" w:sz="0" w:space="0" w:color="auto"/>
        <w:bottom w:val="none" w:sz="0" w:space="0" w:color="auto"/>
        <w:right w:val="none" w:sz="0" w:space="0" w:color="auto"/>
      </w:divBdr>
    </w:div>
    <w:div w:id="1303390580">
      <w:bodyDiv w:val="1"/>
      <w:marLeft w:val="0"/>
      <w:marRight w:val="0"/>
      <w:marTop w:val="0"/>
      <w:marBottom w:val="0"/>
      <w:divBdr>
        <w:top w:val="none" w:sz="0" w:space="0" w:color="auto"/>
        <w:left w:val="none" w:sz="0" w:space="0" w:color="auto"/>
        <w:bottom w:val="none" w:sz="0" w:space="0" w:color="auto"/>
        <w:right w:val="none" w:sz="0" w:space="0" w:color="auto"/>
      </w:divBdr>
    </w:div>
    <w:div w:id="1355616683">
      <w:bodyDiv w:val="1"/>
      <w:marLeft w:val="0"/>
      <w:marRight w:val="0"/>
      <w:marTop w:val="0"/>
      <w:marBottom w:val="0"/>
      <w:divBdr>
        <w:top w:val="none" w:sz="0" w:space="0" w:color="auto"/>
        <w:left w:val="none" w:sz="0" w:space="0" w:color="auto"/>
        <w:bottom w:val="none" w:sz="0" w:space="0" w:color="auto"/>
        <w:right w:val="none" w:sz="0" w:space="0" w:color="auto"/>
      </w:divBdr>
    </w:div>
    <w:div w:id="1368217216">
      <w:bodyDiv w:val="1"/>
      <w:marLeft w:val="0"/>
      <w:marRight w:val="0"/>
      <w:marTop w:val="0"/>
      <w:marBottom w:val="0"/>
      <w:divBdr>
        <w:top w:val="none" w:sz="0" w:space="0" w:color="auto"/>
        <w:left w:val="none" w:sz="0" w:space="0" w:color="auto"/>
        <w:bottom w:val="none" w:sz="0" w:space="0" w:color="auto"/>
        <w:right w:val="none" w:sz="0" w:space="0" w:color="auto"/>
      </w:divBdr>
    </w:div>
    <w:div w:id="1373771638">
      <w:bodyDiv w:val="1"/>
      <w:marLeft w:val="0"/>
      <w:marRight w:val="0"/>
      <w:marTop w:val="0"/>
      <w:marBottom w:val="0"/>
      <w:divBdr>
        <w:top w:val="none" w:sz="0" w:space="0" w:color="auto"/>
        <w:left w:val="none" w:sz="0" w:space="0" w:color="auto"/>
        <w:bottom w:val="none" w:sz="0" w:space="0" w:color="auto"/>
        <w:right w:val="none" w:sz="0" w:space="0" w:color="auto"/>
      </w:divBdr>
    </w:div>
    <w:div w:id="1377048352">
      <w:bodyDiv w:val="1"/>
      <w:marLeft w:val="0"/>
      <w:marRight w:val="0"/>
      <w:marTop w:val="0"/>
      <w:marBottom w:val="0"/>
      <w:divBdr>
        <w:top w:val="none" w:sz="0" w:space="0" w:color="auto"/>
        <w:left w:val="none" w:sz="0" w:space="0" w:color="auto"/>
        <w:bottom w:val="none" w:sz="0" w:space="0" w:color="auto"/>
        <w:right w:val="none" w:sz="0" w:space="0" w:color="auto"/>
      </w:divBdr>
    </w:div>
    <w:div w:id="1381200931">
      <w:bodyDiv w:val="1"/>
      <w:marLeft w:val="0"/>
      <w:marRight w:val="0"/>
      <w:marTop w:val="0"/>
      <w:marBottom w:val="0"/>
      <w:divBdr>
        <w:top w:val="none" w:sz="0" w:space="0" w:color="auto"/>
        <w:left w:val="none" w:sz="0" w:space="0" w:color="auto"/>
        <w:bottom w:val="none" w:sz="0" w:space="0" w:color="auto"/>
        <w:right w:val="none" w:sz="0" w:space="0" w:color="auto"/>
      </w:divBdr>
    </w:div>
    <w:div w:id="1384283856">
      <w:bodyDiv w:val="1"/>
      <w:marLeft w:val="0"/>
      <w:marRight w:val="0"/>
      <w:marTop w:val="0"/>
      <w:marBottom w:val="0"/>
      <w:divBdr>
        <w:top w:val="none" w:sz="0" w:space="0" w:color="auto"/>
        <w:left w:val="none" w:sz="0" w:space="0" w:color="auto"/>
        <w:bottom w:val="none" w:sz="0" w:space="0" w:color="auto"/>
        <w:right w:val="none" w:sz="0" w:space="0" w:color="auto"/>
      </w:divBdr>
    </w:div>
    <w:div w:id="1429698314">
      <w:bodyDiv w:val="1"/>
      <w:marLeft w:val="0"/>
      <w:marRight w:val="0"/>
      <w:marTop w:val="0"/>
      <w:marBottom w:val="0"/>
      <w:divBdr>
        <w:top w:val="none" w:sz="0" w:space="0" w:color="auto"/>
        <w:left w:val="none" w:sz="0" w:space="0" w:color="auto"/>
        <w:bottom w:val="none" w:sz="0" w:space="0" w:color="auto"/>
        <w:right w:val="none" w:sz="0" w:space="0" w:color="auto"/>
      </w:divBdr>
    </w:div>
    <w:div w:id="1464807162">
      <w:bodyDiv w:val="1"/>
      <w:marLeft w:val="0"/>
      <w:marRight w:val="0"/>
      <w:marTop w:val="0"/>
      <w:marBottom w:val="0"/>
      <w:divBdr>
        <w:top w:val="none" w:sz="0" w:space="0" w:color="auto"/>
        <w:left w:val="none" w:sz="0" w:space="0" w:color="auto"/>
        <w:bottom w:val="none" w:sz="0" w:space="0" w:color="auto"/>
        <w:right w:val="none" w:sz="0" w:space="0" w:color="auto"/>
      </w:divBdr>
    </w:div>
    <w:div w:id="1532914815">
      <w:bodyDiv w:val="1"/>
      <w:marLeft w:val="0"/>
      <w:marRight w:val="0"/>
      <w:marTop w:val="0"/>
      <w:marBottom w:val="0"/>
      <w:divBdr>
        <w:top w:val="none" w:sz="0" w:space="0" w:color="auto"/>
        <w:left w:val="none" w:sz="0" w:space="0" w:color="auto"/>
        <w:bottom w:val="none" w:sz="0" w:space="0" w:color="auto"/>
        <w:right w:val="none" w:sz="0" w:space="0" w:color="auto"/>
      </w:divBdr>
    </w:div>
    <w:div w:id="1545362208">
      <w:bodyDiv w:val="1"/>
      <w:marLeft w:val="0"/>
      <w:marRight w:val="0"/>
      <w:marTop w:val="0"/>
      <w:marBottom w:val="0"/>
      <w:divBdr>
        <w:top w:val="none" w:sz="0" w:space="0" w:color="auto"/>
        <w:left w:val="none" w:sz="0" w:space="0" w:color="auto"/>
        <w:bottom w:val="none" w:sz="0" w:space="0" w:color="auto"/>
        <w:right w:val="none" w:sz="0" w:space="0" w:color="auto"/>
      </w:divBdr>
    </w:div>
    <w:div w:id="1583025439">
      <w:bodyDiv w:val="1"/>
      <w:marLeft w:val="0"/>
      <w:marRight w:val="0"/>
      <w:marTop w:val="0"/>
      <w:marBottom w:val="0"/>
      <w:divBdr>
        <w:top w:val="none" w:sz="0" w:space="0" w:color="auto"/>
        <w:left w:val="none" w:sz="0" w:space="0" w:color="auto"/>
        <w:bottom w:val="none" w:sz="0" w:space="0" w:color="auto"/>
        <w:right w:val="none" w:sz="0" w:space="0" w:color="auto"/>
      </w:divBdr>
    </w:div>
    <w:div w:id="1596478684">
      <w:bodyDiv w:val="1"/>
      <w:marLeft w:val="0"/>
      <w:marRight w:val="0"/>
      <w:marTop w:val="0"/>
      <w:marBottom w:val="0"/>
      <w:divBdr>
        <w:top w:val="none" w:sz="0" w:space="0" w:color="auto"/>
        <w:left w:val="none" w:sz="0" w:space="0" w:color="auto"/>
        <w:bottom w:val="none" w:sz="0" w:space="0" w:color="auto"/>
        <w:right w:val="none" w:sz="0" w:space="0" w:color="auto"/>
      </w:divBdr>
    </w:div>
    <w:div w:id="1614899957">
      <w:bodyDiv w:val="1"/>
      <w:marLeft w:val="0"/>
      <w:marRight w:val="0"/>
      <w:marTop w:val="0"/>
      <w:marBottom w:val="0"/>
      <w:divBdr>
        <w:top w:val="none" w:sz="0" w:space="0" w:color="auto"/>
        <w:left w:val="none" w:sz="0" w:space="0" w:color="auto"/>
        <w:bottom w:val="none" w:sz="0" w:space="0" w:color="auto"/>
        <w:right w:val="none" w:sz="0" w:space="0" w:color="auto"/>
      </w:divBdr>
    </w:div>
    <w:div w:id="1686134965">
      <w:bodyDiv w:val="1"/>
      <w:marLeft w:val="0"/>
      <w:marRight w:val="0"/>
      <w:marTop w:val="0"/>
      <w:marBottom w:val="0"/>
      <w:divBdr>
        <w:top w:val="none" w:sz="0" w:space="0" w:color="auto"/>
        <w:left w:val="none" w:sz="0" w:space="0" w:color="auto"/>
        <w:bottom w:val="none" w:sz="0" w:space="0" w:color="auto"/>
        <w:right w:val="none" w:sz="0" w:space="0" w:color="auto"/>
      </w:divBdr>
    </w:div>
    <w:div w:id="1722165896">
      <w:bodyDiv w:val="1"/>
      <w:marLeft w:val="0"/>
      <w:marRight w:val="0"/>
      <w:marTop w:val="0"/>
      <w:marBottom w:val="0"/>
      <w:divBdr>
        <w:top w:val="none" w:sz="0" w:space="0" w:color="auto"/>
        <w:left w:val="none" w:sz="0" w:space="0" w:color="auto"/>
        <w:bottom w:val="none" w:sz="0" w:space="0" w:color="auto"/>
        <w:right w:val="none" w:sz="0" w:space="0" w:color="auto"/>
      </w:divBdr>
    </w:div>
    <w:div w:id="1842701833">
      <w:bodyDiv w:val="1"/>
      <w:marLeft w:val="0"/>
      <w:marRight w:val="0"/>
      <w:marTop w:val="0"/>
      <w:marBottom w:val="0"/>
      <w:divBdr>
        <w:top w:val="none" w:sz="0" w:space="0" w:color="auto"/>
        <w:left w:val="none" w:sz="0" w:space="0" w:color="auto"/>
        <w:bottom w:val="none" w:sz="0" w:space="0" w:color="auto"/>
        <w:right w:val="none" w:sz="0" w:space="0" w:color="auto"/>
      </w:divBdr>
    </w:div>
    <w:div w:id="1893610282">
      <w:bodyDiv w:val="1"/>
      <w:marLeft w:val="0"/>
      <w:marRight w:val="0"/>
      <w:marTop w:val="0"/>
      <w:marBottom w:val="0"/>
      <w:divBdr>
        <w:top w:val="none" w:sz="0" w:space="0" w:color="auto"/>
        <w:left w:val="none" w:sz="0" w:space="0" w:color="auto"/>
        <w:bottom w:val="none" w:sz="0" w:space="0" w:color="auto"/>
        <w:right w:val="none" w:sz="0" w:space="0" w:color="auto"/>
      </w:divBdr>
    </w:div>
    <w:div w:id="1952933953">
      <w:bodyDiv w:val="1"/>
      <w:marLeft w:val="0"/>
      <w:marRight w:val="0"/>
      <w:marTop w:val="0"/>
      <w:marBottom w:val="0"/>
      <w:divBdr>
        <w:top w:val="none" w:sz="0" w:space="0" w:color="auto"/>
        <w:left w:val="none" w:sz="0" w:space="0" w:color="auto"/>
        <w:bottom w:val="none" w:sz="0" w:space="0" w:color="auto"/>
        <w:right w:val="none" w:sz="0" w:space="0" w:color="auto"/>
      </w:divBdr>
    </w:div>
    <w:div w:id="1998800997">
      <w:bodyDiv w:val="1"/>
      <w:marLeft w:val="0"/>
      <w:marRight w:val="0"/>
      <w:marTop w:val="0"/>
      <w:marBottom w:val="0"/>
      <w:divBdr>
        <w:top w:val="none" w:sz="0" w:space="0" w:color="auto"/>
        <w:left w:val="none" w:sz="0" w:space="0" w:color="auto"/>
        <w:bottom w:val="none" w:sz="0" w:space="0" w:color="auto"/>
        <w:right w:val="none" w:sz="0" w:space="0" w:color="auto"/>
      </w:divBdr>
    </w:div>
    <w:div w:id="2002394068">
      <w:bodyDiv w:val="1"/>
      <w:marLeft w:val="0"/>
      <w:marRight w:val="0"/>
      <w:marTop w:val="0"/>
      <w:marBottom w:val="0"/>
      <w:divBdr>
        <w:top w:val="none" w:sz="0" w:space="0" w:color="auto"/>
        <w:left w:val="none" w:sz="0" w:space="0" w:color="auto"/>
        <w:bottom w:val="none" w:sz="0" w:space="0" w:color="auto"/>
        <w:right w:val="none" w:sz="0" w:space="0" w:color="auto"/>
      </w:divBdr>
    </w:div>
    <w:div w:id="2075160334">
      <w:bodyDiv w:val="1"/>
      <w:marLeft w:val="0"/>
      <w:marRight w:val="0"/>
      <w:marTop w:val="0"/>
      <w:marBottom w:val="0"/>
      <w:divBdr>
        <w:top w:val="none" w:sz="0" w:space="0" w:color="auto"/>
        <w:left w:val="none" w:sz="0" w:space="0" w:color="auto"/>
        <w:bottom w:val="none" w:sz="0" w:space="0" w:color="auto"/>
        <w:right w:val="none" w:sz="0" w:space="0" w:color="auto"/>
      </w:divBdr>
    </w:div>
    <w:div w:id="2075615779">
      <w:bodyDiv w:val="1"/>
      <w:marLeft w:val="0"/>
      <w:marRight w:val="0"/>
      <w:marTop w:val="0"/>
      <w:marBottom w:val="0"/>
      <w:divBdr>
        <w:top w:val="none" w:sz="0" w:space="0" w:color="auto"/>
        <w:left w:val="none" w:sz="0" w:space="0" w:color="auto"/>
        <w:bottom w:val="none" w:sz="0" w:space="0" w:color="auto"/>
        <w:right w:val="none" w:sz="0" w:space="0" w:color="auto"/>
      </w:divBdr>
    </w:div>
    <w:div w:id="2082634571">
      <w:bodyDiv w:val="1"/>
      <w:marLeft w:val="0"/>
      <w:marRight w:val="0"/>
      <w:marTop w:val="0"/>
      <w:marBottom w:val="0"/>
      <w:divBdr>
        <w:top w:val="none" w:sz="0" w:space="0" w:color="auto"/>
        <w:left w:val="none" w:sz="0" w:space="0" w:color="auto"/>
        <w:bottom w:val="none" w:sz="0" w:space="0" w:color="auto"/>
        <w:right w:val="none" w:sz="0" w:space="0" w:color="auto"/>
      </w:divBdr>
    </w:div>
    <w:div w:id="2086028827">
      <w:bodyDiv w:val="1"/>
      <w:marLeft w:val="0"/>
      <w:marRight w:val="0"/>
      <w:marTop w:val="0"/>
      <w:marBottom w:val="0"/>
      <w:divBdr>
        <w:top w:val="none" w:sz="0" w:space="0" w:color="auto"/>
        <w:left w:val="none" w:sz="0" w:space="0" w:color="auto"/>
        <w:bottom w:val="none" w:sz="0" w:space="0" w:color="auto"/>
        <w:right w:val="none" w:sz="0" w:space="0" w:color="auto"/>
      </w:divBdr>
    </w:div>
    <w:div w:id="2099710257">
      <w:bodyDiv w:val="1"/>
      <w:marLeft w:val="0"/>
      <w:marRight w:val="0"/>
      <w:marTop w:val="0"/>
      <w:marBottom w:val="0"/>
      <w:divBdr>
        <w:top w:val="none" w:sz="0" w:space="0" w:color="auto"/>
        <w:left w:val="none" w:sz="0" w:space="0" w:color="auto"/>
        <w:bottom w:val="none" w:sz="0" w:space="0" w:color="auto"/>
        <w:right w:val="none" w:sz="0" w:space="0" w:color="auto"/>
      </w:divBdr>
    </w:div>
    <w:div w:id="214580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AFD4A-76B6-4BE3-9362-C292E751A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3908</Words>
  <Characters>22276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Detterbeck</dc:creator>
  <cp:lastModifiedBy>Gina Green</cp:lastModifiedBy>
  <cp:revision>8</cp:revision>
  <dcterms:created xsi:type="dcterms:W3CDTF">2021-05-03T06:29:00Z</dcterms:created>
  <dcterms:modified xsi:type="dcterms:W3CDTF">2021-07-29T00:22:00Z</dcterms:modified>
</cp:coreProperties>
</file>